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7B30" w:rsidRDefault="006561A8">
      <w:pPr>
        <w:rPr>
          <w:rFonts w:ascii="Arial" w:eastAsia="Arial" w:hAnsi="Arial" w:cs="Arial"/>
          <w:b/>
          <w:sz w:val="36"/>
          <w:szCs w:val="36"/>
        </w:rPr>
      </w:pPr>
      <w:bookmarkStart w:id="0" w:name="_heading=h.44sinio" w:colFirst="0" w:colLast="0"/>
      <w:bookmarkEnd w:id="0"/>
      <w:r>
        <w:rPr>
          <w:rFonts w:ascii="Arial" w:eastAsia="Arial" w:hAnsi="Arial" w:cs="Arial"/>
          <w:b/>
          <w:sz w:val="36"/>
          <w:szCs w:val="36"/>
        </w:rPr>
        <w:t xml:space="preserve">Schedule </w:t>
      </w:r>
      <w:bookmarkStart w:id="1" w:name="bookmark=id.2jxsxqh" w:colFirst="0" w:colLast="0"/>
      <w:bookmarkEnd w:id="1"/>
      <w:r>
        <w:rPr>
          <w:rFonts w:ascii="Arial" w:eastAsia="Arial" w:hAnsi="Arial" w:cs="Arial"/>
          <w:b/>
          <w:sz w:val="36"/>
          <w:szCs w:val="36"/>
        </w:rPr>
        <w:t>3 (</w:t>
      </w:r>
      <w:bookmarkStart w:id="2" w:name="bookmark=id.z337ya" w:colFirst="0" w:colLast="0"/>
      <w:bookmarkEnd w:id="2"/>
      <w:r>
        <w:rPr>
          <w:rFonts w:ascii="Arial" w:eastAsia="Arial" w:hAnsi="Arial" w:cs="Arial"/>
          <w:b/>
          <w:sz w:val="36"/>
          <w:szCs w:val="36"/>
        </w:rPr>
        <w:t>Charges)</w:t>
      </w:r>
    </w:p>
    <w:p w:rsidR="007B7B30" w:rsidRDefault="006561A8">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sz w:val="24"/>
          <w:szCs w:val="24"/>
        </w:rPr>
      </w:pPr>
      <w:bookmarkStart w:id="3" w:name="_heading=h.30j0zll" w:colFirst="0" w:colLast="0"/>
      <w:bookmarkEnd w:id="3"/>
      <w:r>
        <w:rPr>
          <w:rFonts w:ascii="Arial Bold" w:eastAsia="Arial Bold" w:hAnsi="Arial Bold" w:cs="Arial Bold"/>
          <w:b/>
          <w:color w:val="000000"/>
          <w:sz w:val="24"/>
          <w:szCs w:val="24"/>
        </w:rPr>
        <w:t>Definitions</w:t>
      </w:r>
    </w:p>
    <w:p w:rsidR="007B7B30" w:rsidRDefault="006561A8">
      <w:pPr>
        <w:keepNext/>
        <w:numPr>
          <w:ilvl w:val="1"/>
          <w:numId w:val="4"/>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f"/>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7B7B30">
        <w:tc>
          <w:tcPr>
            <w:tcW w:w="2462" w:type="dxa"/>
          </w:tcPr>
          <w:p w:rsidR="007B7B30" w:rsidRDefault="006561A8">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"Anticipated Contract Life Profit Margin"</w:t>
            </w:r>
          </w:p>
        </w:tc>
        <w:tc>
          <w:tcPr>
            <w:tcW w:w="5098" w:type="dxa"/>
          </w:tcPr>
          <w:p w:rsidR="007B7B30" w:rsidRDefault="006561A8">
            <w:pPr>
              <w:pBdr>
                <w:top w:val="nil"/>
                <w:left w:val="nil"/>
                <w:bottom w:val="nil"/>
                <w:right w:val="nil"/>
                <w:between w:val="nil"/>
              </w:pBdr>
              <w:tabs>
                <w:tab w:val="left" w:pos="175"/>
              </w:tabs>
              <w:spacing w:before="120" w:after="120"/>
              <w:rPr>
                <w:rFonts w:ascii="Arial" w:eastAsia="Arial" w:hAnsi="Arial" w:cs="Arial"/>
                <w:color w:val="000000"/>
                <w:sz w:val="24"/>
                <w:szCs w:val="24"/>
              </w:rPr>
            </w:pPr>
            <w:r>
              <w:rPr>
                <w:rFonts w:ascii="Arial" w:eastAsia="Arial" w:hAnsi="Arial" w:cs="Arial"/>
                <w:color w:val="000000"/>
                <w:sz w:val="24"/>
                <w:szCs w:val="24"/>
              </w:rPr>
              <w:t>the anticipated Supplier Profit Margin over the Contract Period;</w:t>
            </w:r>
          </w:p>
        </w:tc>
      </w:tr>
      <w:tr w:rsidR="007B7B30">
        <w:tc>
          <w:tcPr>
            <w:tcW w:w="2462" w:type="dxa"/>
          </w:tcPr>
          <w:p w:rsidR="007B7B30" w:rsidRDefault="006561A8">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sz w:val="24"/>
                <w:szCs w:val="24"/>
              </w:rPr>
              <w:t>Gainshare</w:t>
            </w:r>
          </w:p>
        </w:tc>
        <w:tc>
          <w:tcPr>
            <w:tcW w:w="5098" w:type="dxa"/>
          </w:tcPr>
          <w:p w:rsidR="007B7B30" w:rsidRDefault="006561A8">
            <w:pPr>
              <w:pBdr>
                <w:top w:val="nil"/>
                <w:left w:val="nil"/>
                <w:bottom w:val="nil"/>
                <w:right w:val="nil"/>
                <w:between w:val="nil"/>
              </w:pBdr>
              <w:tabs>
                <w:tab w:val="left" w:pos="175"/>
              </w:tabs>
              <w:spacing w:before="120" w:after="120"/>
              <w:rPr>
                <w:rFonts w:ascii="Arial" w:eastAsia="Arial" w:hAnsi="Arial" w:cs="Arial"/>
                <w:sz w:val="24"/>
                <w:szCs w:val="24"/>
              </w:rPr>
            </w:pPr>
            <w:r>
              <w:rPr>
                <w:rFonts w:ascii="Arial" w:eastAsia="Arial" w:hAnsi="Arial" w:cs="Arial"/>
                <w:sz w:val="24"/>
                <w:szCs w:val="24"/>
              </w:rPr>
              <w:t>means the share of revenue from Innovation, Continuous Improvement and other revenue generating activity relating to the Services</w:t>
            </w:r>
          </w:p>
          <w:p w:rsidR="007B7B30" w:rsidRDefault="007B7B30">
            <w:pPr>
              <w:pBdr>
                <w:top w:val="nil"/>
                <w:left w:val="nil"/>
                <w:bottom w:val="nil"/>
                <w:right w:val="nil"/>
                <w:between w:val="nil"/>
              </w:pBdr>
              <w:tabs>
                <w:tab w:val="left" w:pos="175"/>
              </w:tabs>
              <w:spacing w:before="120" w:after="120"/>
              <w:rPr>
                <w:rFonts w:ascii="Arial" w:eastAsia="Arial" w:hAnsi="Arial" w:cs="Arial"/>
                <w:sz w:val="24"/>
                <w:szCs w:val="24"/>
              </w:rPr>
            </w:pPr>
          </w:p>
          <w:p w:rsidR="007B7B30" w:rsidRDefault="007B7B30">
            <w:pPr>
              <w:pBdr>
                <w:top w:val="nil"/>
                <w:left w:val="nil"/>
                <w:bottom w:val="nil"/>
                <w:right w:val="nil"/>
                <w:between w:val="nil"/>
              </w:pBdr>
              <w:tabs>
                <w:tab w:val="left" w:pos="175"/>
              </w:tabs>
              <w:spacing w:before="120" w:after="120"/>
              <w:rPr>
                <w:rFonts w:ascii="Arial" w:eastAsia="Arial" w:hAnsi="Arial" w:cs="Arial"/>
                <w:sz w:val="24"/>
                <w:szCs w:val="24"/>
              </w:rPr>
            </w:pPr>
          </w:p>
        </w:tc>
      </w:tr>
      <w:tr w:rsidR="007B7B30">
        <w:tc>
          <w:tcPr>
            <w:tcW w:w="2462" w:type="dxa"/>
          </w:tcPr>
          <w:p w:rsidR="007B7B30" w:rsidRDefault="006561A8">
            <w:pPr>
              <w:spacing w:before="120" w:after="120"/>
              <w:rPr>
                <w:rFonts w:ascii="Arial" w:eastAsia="Arial" w:hAnsi="Arial" w:cs="Arial"/>
                <w:sz w:val="24"/>
                <w:szCs w:val="24"/>
              </w:rPr>
            </w:pPr>
            <w:r>
              <w:rPr>
                <w:rFonts w:ascii="Arial" w:eastAsia="Arial" w:hAnsi="Arial" w:cs="Arial"/>
                <w:sz w:val="24"/>
                <w:szCs w:val="24"/>
              </w:rPr>
              <w:t xml:space="preserve">Implementation </w:t>
            </w:r>
          </w:p>
          <w:p w:rsidR="007B7B30" w:rsidRDefault="006561A8">
            <w:pPr>
              <w:spacing w:before="120" w:after="120"/>
              <w:rPr>
                <w:rFonts w:ascii="Arial" w:eastAsia="Arial" w:hAnsi="Arial" w:cs="Arial"/>
                <w:sz w:val="24"/>
                <w:szCs w:val="24"/>
              </w:rPr>
            </w:pPr>
            <w:r>
              <w:rPr>
                <w:rFonts w:ascii="Arial" w:eastAsia="Arial" w:hAnsi="Arial" w:cs="Arial"/>
                <w:sz w:val="24"/>
                <w:szCs w:val="24"/>
              </w:rPr>
              <w:t>Costs</w:t>
            </w:r>
          </w:p>
        </w:tc>
        <w:tc>
          <w:tcPr>
            <w:tcW w:w="5098" w:type="dxa"/>
          </w:tcPr>
          <w:p w:rsidR="007B7B30" w:rsidRDefault="006561A8">
            <w:pPr>
              <w:spacing w:before="120" w:after="120"/>
              <w:rPr>
                <w:rFonts w:ascii="Arial" w:eastAsia="Arial" w:hAnsi="Arial" w:cs="Arial"/>
                <w:sz w:val="24"/>
                <w:szCs w:val="24"/>
              </w:rPr>
            </w:pPr>
            <w:r>
              <w:rPr>
                <w:rFonts w:ascii="Arial" w:eastAsia="Arial" w:hAnsi="Arial" w:cs="Arial"/>
                <w:sz w:val="24"/>
                <w:szCs w:val="24"/>
              </w:rPr>
              <w:t>means the costs to be incurred by the Supplier in delivering the Detailed Implementation Plan to be agreed in accordance with Schedule 8 of the contract</w:t>
            </w:r>
          </w:p>
        </w:tc>
      </w:tr>
    </w:tbl>
    <w:p w:rsidR="007B7B30" w:rsidRDefault="006561A8">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sz w:val="24"/>
          <w:szCs w:val="24"/>
        </w:rPr>
      </w:pPr>
      <w:r>
        <w:rPr>
          <w:rFonts w:ascii="Arial Bold" w:eastAsia="Arial Bold" w:hAnsi="Arial Bold" w:cs="Arial Bold"/>
          <w:b/>
          <w:color w:val="000000"/>
          <w:sz w:val="24"/>
          <w:szCs w:val="24"/>
        </w:rPr>
        <w:t>How Charges are calculated</w:t>
      </w:r>
    </w:p>
    <w:p w:rsidR="007B7B30" w:rsidRDefault="006561A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Charges:</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be calculated in accordance with the terms of this Schedule;</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Any variation to the Charges payable under </w:t>
      </w:r>
      <w:r>
        <w:rPr>
          <w:rFonts w:ascii="Arial" w:eastAsia="Arial" w:hAnsi="Arial" w:cs="Arial"/>
          <w:sz w:val="24"/>
          <w:szCs w:val="24"/>
        </w:rPr>
        <w:t>this</w:t>
      </w:r>
      <w:r>
        <w:rPr>
          <w:rFonts w:ascii="Arial" w:eastAsia="Arial" w:hAnsi="Arial" w:cs="Arial"/>
          <w:color w:val="000000"/>
          <w:sz w:val="24"/>
          <w:szCs w:val="24"/>
        </w:rPr>
        <w:t xml:space="preserve"> Contract must be agreed between the Supplier and the Buyer and implemented using the procedure set out in this Schedule.</w:t>
      </w:r>
    </w:p>
    <w:p w:rsidR="007B7B30" w:rsidRDefault="006561A8">
      <w:pPr>
        <w:keepNext/>
        <w:numPr>
          <w:ilvl w:val="0"/>
          <w:numId w:val="1"/>
        </w:numPr>
        <w:pBdr>
          <w:top w:val="nil"/>
          <w:left w:val="nil"/>
          <w:bottom w:val="nil"/>
          <w:right w:val="nil"/>
          <w:between w:val="nil"/>
        </w:pBdr>
        <w:tabs>
          <w:tab w:val="left" w:pos="0"/>
        </w:tabs>
        <w:spacing w:before="120" w:after="240" w:line="240" w:lineRule="auto"/>
        <w:rPr>
          <w:color w:val="000000"/>
          <w:sz w:val="24"/>
          <w:szCs w:val="24"/>
        </w:rPr>
      </w:pPr>
      <w:r>
        <w:rPr>
          <w:rFonts w:ascii="Arial" w:eastAsia="Arial" w:hAnsi="Arial" w:cs="Arial"/>
          <w:b/>
          <w:color w:val="000000"/>
          <w:sz w:val="24"/>
          <w:szCs w:val="24"/>
        </w:rPr>
        <w:t>The pricing mechanis</w:t>
      </w:r>
      <w:r>
        <w:rPr>
          <w:rFonts w:ascii="Arial" w:eastAsia="Arial" w:hAnsi="Arial" w:cs="Arial"/>
          <w:b/>
          <w:color w:val="000000"/>
          <w:sz w:val="24"/>
          <w:szCs w:val="24"/>
        </w:rPr>
        <w:t>ms</w:t>
      </w:r>
    </w:p>
    <w:p w:rsidR="007B7B30" w:rsidRDefault="006561A8">
      <w:pPr>
        <w:pBdr>
          <w:top w:val="nil"/>
          <w:left w:val="nil"/>
          <w:bottom w:val="nil"/>
          <w:right w:val="nil"/>
          <w:between w:val="nil"/>
        </w:pBdr>
        <w:tabs>
          <w:tab w:val="left" w:pos="1134"/>
        </w:tabs>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w:t>
      </w:r>
      <w:r>
        <w:rPr>
          <w:rFonts w:ascii="Arial" w:eastAsia="Arial" w:hAnsi="Arial" w:cs="Arial"/>
          <w:sz w:val="24"/>
          <w:szCs w:val="24"/>
        </w:rPr>
        <w:t>1</w:t>
      </w:r>
      <w:r>
        <w:rPr>
          <w:rFonts w:ascii="Arial" w:eastAsia="Arial" w:hAnsi="Arial" w:cs="Arial"/>
          <w:color w:val="000000"/>
          <w:sz w:val="24"/>
          <w:szCs w:val="24"/>
        </w:rPr>
        <w:t xml:space="preserve"> shall be </w:t>
      </w:r>
      <w:r>
        <w:rPr>
          <w:rFonts w:ascii="Arial" w:eastAsia="Arial" w:hAnsi="Arial" w:cs="Arial"/>
          <w:sz w:val="24"/>
          <w:szCs w:val="24"/>
        </w:rPr>
        <w:t>used</w:t>
      </w:r>
      <w:r>
        <w:rPr>
          <w:rFonts w:ascii="Arial" w:eastAsia="Arial" w:hAnsi="Arial" w:cs="Arial"/>
          <w:color w:val="000000"/>
          <w:sz w:val="24"/>
          <w:szCs w:val="24"/>
        </w:rPr>
        <w:t xml:space="preserve"> in calculation of Charges in this Contract.</w:t>
      </w:r>
    </w:p>
    <w:p w:rsidR="007B7B30" w:rsidRDefault="006561A8">
      <w:pPr>
        <w:keepNext/>
        <w:numPr>
          <w:ilvl w:val="0"/>
          <w:numId w:val="1"/>
        </w:numPr>
        <w:pBdr>
          <w:top w:val="nil"/>
          <w:left w:val="nil"/>
          <w:bottom w:val="nil"/>
          <w:right w:val="nil"/>
          <w:between w:val="nil"/>
        </w:pBdr>
        <w:tabs>
          <w:tab w:val="left" w:pos="0"/>
        </w:tabs>
        <w:spacing w:before="120" w:after="240" w:line="240" w:lineRule="auto"/>
        <w:rPr>
          <w:color w:val="000000"/>
          <w:sz w:val="24"/>
          <w:szCs w:val="24"/>
        </w:rPr>
      </w:pPr>
      <w:bookmarkStart w:id="5" w:name="_heading=h.3znysh7" w:colFirst="0" w:colLast="0"/>
      <w:bookmarkEnd w:id="5"/>
      <w:r>
        <w:rPr>
          <w:rFonts w:ascii="Arial" w:eastAsia="Arial" w:hAnsi="Arial" w:cs="Arial"/>
          <w:b/>
          <w:sz w:val="24"/>
          <w:szCs w:val="24"/>
        </w:rPr>
        <w:t>C</w:t>
      </w:r>
      <w:r>
        <w:rPr>
          <w:rFonts w:ascii="Arial" w:eastAsia="Arial" w:hAnsi="Arial" w:cs="Arial"/>
          <w:b/>
          <w:color w:val="000000"/>
          <w:sz w:val="24"/>
          <w:szCs w:val="24"/>
        </w:rPr>
        <w:t>osts and expenses included in the Charges</w:t>
      </w:r>
    </w:p>
    <w:p w:rsidR="007B7B30" w:rsidRDefault="006561A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sz w:val="24"/>
          <w:szCs w:val="24"/>
        </w:rPr>
        <w:t>T</w:t>
      </w:r>
      <w:r>
        <w:rPr>
          <w:rFonts w:ascii="Arial" w:eastAsia="Arial" w:hAnsi="Arial" w:cs="Arial"/>
          <w:color w:val="000000"/>
          <w:sz w:val="24"/>
          <w:szCs w:val="24"/>
        </w:rPr>
        <w:t>he Charges shall include all costs and expenses relating to the provision of Deliverables. No further amounts shall be payable in respect of matters such as:</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costs incurred prior to the commencement of</w:t>
      </w:r>
      <w:r>
        <w:rPr>
          <w:rFonts w:ascii="Arial" w:eastAsia="Arial" w:hAnsi="Arial" w:cs="Arial"/>
          <w:color w:val="000000"/>
          <w:sz w:val="24"/>
          <w:szCs w:val="24"/>
        </w:rPr>
        <w:t xml:space="preserve"> this Contract.</w:t>
      </w:r>
    </w:p>
    <w:p w:rsidR="007B7B30" w:rsidRDefault="006561A8">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sz w:val="24"/>
          <w:szCs w:val="24"/>
        </w:rPr>
      </w:pPr>
      <w:r>
        <w:rPr>
          <w:rFonts w:ascii="Arial Bold" w:eastAsia="Arial Bold" w:hAnsi="Arial Bold" w:cs="Arial Bold"/>
          <w:b/>
          <w:color w:val="000000"/>
          <w:sz w:val="24"/>
          <w:szCs w:val="24"/>
        </w:rPr>
        <w:lastRenderedPageBreak/>
        <w:t>Events that allow the Supplier to change the Charges</w:t>
      </w:r>
    </w:p>
    <w:p w:rsidR="007B7B30" w:rsidRDefault="006561A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can also be varied (and Annex </w:t>
      </w:r>
      <w:r>
        <w:rPr>
          <w:rFonts w:ascii="Arial" w:eastAsia="Arial" w:hAnsi="Arial" w:cs="Arial"/>
          <w:sz w:val="24"/>
          <w:szCs w:val="24"/>
        </w:rPr>
        <w:t>1</w:t>
      </w:r>
      <w:r>
        <w:rPr>
          <w:rFonts w:ascii="Arial" w:eastAsia="Arial" w:hAnsi="Arial" w:cs="Arial"/>
          <w:color w:val="000000"/>
          <w:sz w:val="24"/>
          <w:szCs w:val="24"/>
        </w:rPr>
        <w:t xml:space="preserve"> will be updated accordingly) due to:</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Specific Change in Law in accordance with Clauses 28.</w:t>
      </w:r>
      <w:r>
        <w:rPr>
          <w:rFonts w:ascii="Arial" w:eastAsia="Arial" w:hAnsi="Arial" w:cs="Arial"/>
          <w:sz w:val="24"/>
          <w:szCs w:val="24"/>
        </w:rPr>
        <w:t>7</w:t>
      </w:r>
      <w:r>
        <w:rPr>
          <w:rFonts w:ascii="Arial" w:eastAsia="Arial" w:hAnsi="Arial" w:cs="Arial"/>
          <w:color w:val="000000"/>
          <w:sz w:val="24"/>
          <w:szCs w:val="24"/>
        </w:rPr>
        <w:t xml:space="preserve"> to 28.8;</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Charges; and</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3rdcrjn" w:colFirst="0" w:colLast="0"/>
      <w:bookmarkEnd w:id="6"/>
      <w:r>
        <w:rPr>
          <w:rFonts w:ascii="Arial" w:eastAsia="Arial" w:hAnsi="Arial" w:cs="Arial"/>
          <w:color w:val="000000"/>
          <w:sz w:val="24"/>
          <w:szCs w:val="24"/>
        </w:rPr>
        <w:t xml:space="preserve">indexation, where Annex </w:t>
      </w:r>
      <w:r>
        <w:rPr>
          <w:rFonts w:ascii="Arial" w:eastAsia="Arial" w:hAnsi="Arial" w:cs="Arial"/>
          <w:sz w:val="24"/>
          <w:szCs w:val="24"/>
        </w:rPr>
        <w:t>1</w:t>
      </w:r>
      <w:r>
        <w:rPr>
          <w:rFonts w:ascii="Arial" w:eastAsia="Arial" w:hAnsi="Arial" w:cs="Arial"/>
          <w:color w:val="000000"/>
          <w:sz w:val="24"/>
          <w:szCs w:val="24"/>
        </w:rPr>
        <w:t xml:space="preserve"> states that a particular Charge or any component is “subject to Indexation” in which event Paragraph </w:t>
      </w:r>
      <w:r>
        <w:rPr>
          <w:rFonts w:ascii="Arial" w:eastAsia="Arial" w:hAnsi="Arial" w:cs="Arial"/>
          <w:sz w:val="24"/>
          <w:szCs w:val="24"/>
        </w:rPr>
        <w:t>6</w:t>
      </w:r>
      <w:r>
        <w:rPr>
          <w:rFonts w:ascii="Arial" w:eastAsia="Arial" w:hAnsi="Arial" w:cs="Arial"/>
          <w:color w:val="000000"/>
          <w:sz w:val="24"/>
          <w:szCs w:val="24"/>
        </w:rPr>
        <w:t xml:space="preserve"> below shall apply</w:t>
      </w:r>
      <w:r>
        <w:rPr>
          <w:rFonts w:ascii="Arial" w:eastAsia="Arial" w:hAnsi="Arial" w:cs="Arial"/>
          <w:sz w:val="24"/>
          <w:szCs w:val="24"/>
        </w:rPr>
        <w:t>.</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7" w:name="_heading=h.jfc4tke39o9u" w:colFirst="0" w:colLast="0"/>
      <w:bookmarkEnd w:id="7"/>
      <w:r>
        <w:rPr>
          <w:rFonts w:ascii="Arial" w:eastAsia="Arial" w:hAnsi="Arial" w:cs="Arial"/>
          <w:sz w:val="24"/>
          <w:szCs w:val="24"/>
        </w:rPr>
        <w:t xml:space="preserve">Gainshare can also </w:t>
      </w:r>
      <w:r>
        <w:rPr>
          <w:rFonts w:ascii="Arial" w:eastAsia="Arial" w:hAnsi="Arial" w:cs="Arial"/>
          <w:sz w:val="24"/>
          <w:szCs w:val="24"/>
        </w:rPr>
        <w:t>be reviewed prior to each point when the Charges are indexed and ahead of any Contract Extension periods.</w:t>
      </w:r>
    </w:p>
    <w:p w:rsidR="007B7B30" w:rsidRDefault="006561A8">
      <w:pPr>
        <w:keepNext/>
        <w:numPr>
          <w:ilvl w:val="0"/>
          <w:numId w:val="1"/>
        </w:numPr>
        <w:pBdr>
          <w:top w:val="nil"/>
          <w:left w:val="nil"/>
          <w:bottom w:val="nil"/>
          <w:right w:val="nil"/>
          <w:between w:val="nil"/>
        </w:pBdr>
        <w:tabs>
          <w:tab w:val="left" w:pos="0"/>
        </w:tabs>
        <w:spacing w:before="120" w:after="240" w:line="240" w:lineRule="auto"/>
        <w:rPr>
          <w:color w:val="000000"/>
          <w:sz w:val="24"/>
          <w:szCs w:val="24"/>
        </w:rPr>
      </w:pPr>
      <w:bookmarkStart w:id="8" w:name="_heading=h.26in1rg" w:colFirst="0" w:colLast="0"/>
      <w:bookmarkEnd w:id="8"/>
      <w:r>
        <w:rPr>
          <w:rFonts w:ascii="Arial" w:eastAsia="Arial" w:hAnsi="Arial" w:cs="Arial"/>
          <w:b/>
          <w:color w:val="000000"/>
          <w:sz w:val="24"/>
          <w:szCs w:val="24"/>
        </w:rPr>
        <w:t>When the Charges are linked to inflation</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lnxbz9" w:colFirst="0" w:colLast="0"/>
      <w:bookmarkEnd w:id="9"/>
      <w:r>
        <w:rPr>
          <w:rFonts w:ascii="Arial" w:eastAsia="Arial" w:hAnsi="Arial" w:cs="Arial"/>
          <w:color w:val="000000"/>
          <w:sz w:val="24"/>
          <w:szCs w:val="24"/>
        </w:rPr>
        <w:t xml:space="preserve">Where the Charges are stated to be "subject to Indexation" they shall be adjusted in line with changes in the </w:t>
      </w:r>
      <w:r>
        <w:rPr>
          <w:rFonts w:ascii="Arial" w:eastAsia="Arial" w:hAnsi="Arial" w:cs="Arial"/>
          <w:sz w:val="24"/>
          <w:szCs w:val="24"/>
        </w:rPr>
        <w:t xml:space="preserve">CPI index published by the Office of National Statistics or </w:t>
      </w:r>
      <w:proofErr w:type="gramStart"/>
      <w:r>
        <w:rPr>
          <w:rFonts w:ascii="Arial" w:eastAsia="Arial" w:hAnsi="Arial" w:cs="Arial"/>
          <w:sz w:val="24"/>
          <w:szCs w:val="24"/>
        </w:rPr>
        <w:t>other</w:t>
      </w:r>
      <w:proofErr w:type="gramEnd"/>
      <w:r>
        <w:rPr>
          <w:rFonts w:ascii="Arial" w:eastAsia="Arial" w:hAnsi="Arial" w:cs="Arial"/>
          <w:sz w:val="24"/>
          <w:szCs w:val="24"/>
        </w:rPr>
        <w:t xml:space="preserve"> reputable source </w:t>
      </w:r>
      <w:r>
        <w:rPr>
          <w:rFonts w:ascii="Arial" w:eastAsia="Arial" w:hAnsi="Arial" w:cs="Arial"/>
          <w:color w:val="000000"/>
          <w:sz w:val="24"/>
          <w:szCs w:val="24"/>
        </w:rPr>
        <w:t xml:space="preserve">(the </w:t>
      </w:r>
      <w:r>
        <w:rPr>
          <w:rFonts w:ascii="Arial" w:eastAsia="Arial" w:hAnsi="Arial" w:cs="Arial"/>
          <w:sz w:val="24"/>
          <w:szCs w:val="24"/>
        </w:rPr>
        <w:t>“</w:t>
      </w:r>
      <w:r>
        <w:rPr>
          <w:rFonts w:ascii="Arial" w:eastAsia="Arial" w:hAnsi="Arial" w:cs="Arial"/>
          <w:b/>
          <w:sz w:val="24"/>
          <w:szCs w:val="24"/>
        </w:rPr>
        <w:t>Index</w:t>
      </w:r>
      <w:r>
        <w:rPr>
          <w:rFonts w:ascii="Arial" w:eastAsia="Arial" w:hAnsi="Arial" w:cs="Arial"/>
          <w:sz w:val="24"/>
          <w:szCs w:val="24"/>
        </w:rPr>
        <w:t>”) pursuant to Paragraph 6.4</w:t>
      </w:r>
      <w:r>
        <w:rPr>
          <w:rFonts w:ascii="Arial" w:eastAsia="Arial" w:hAnsi="Arial" w:cs="Arial"/>
          <w:color w:val="000000"/>
          <w:sz w:val="24"/>
          <w:szCs w:val="24"/>
        </w:rPr>
        <w:t>.  All other costs, expe</w:t>
      </w:r>
      <w:r>
        <w:rPr>
          <w:rFonts w:ascii="Arial" w:eastAsia="Arial" w:hAnsi="Arial" w:cs="Arial"/>
          <w:color w:val="000000"/>
          <w:sz w:val="24"/>
          <w:szCs w:val="24"/>
        </w:rPr>
        <w:t>nses, fees and charges shall not be adjusted to take account of any inflation, change to exchange rate, change to interest rate or any other factor or element which might otherwise increase the cost to the Supplier.</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following costs, expenses, fees or c</w:t>
      </w:r>
      <w:r>
        <w:rPr>
          <w:rFonts w:ascii="Arial" w:eastAsia="Arial" w:hAnsi="Arial" w:cs="Arial"/>
          <w:color w:val="000000"/>
          <w:sz w:val="24"/>
          <w:szCs w:val="24"/>
        </w:rPr>
        <w:t xml:space="preserve">harges included in the Charges shall not be subject to adjustment under this Paragraph </w:t>
      </w:r>
      <w:r>
        <w:rPr>
          <w:rFonts w:ascii="Arial" w:eastAsia="Arial" w:hAnsi="Arial" w:cs="Arial"/>
          <w:sz w:val="24"/>
          <w:szCs w:val="24"/>
        </w:rPr>
        <w:t xml:space="preserve">6 </w:t>
      </w:r>
      <w:r>
        <w:rPr>
          <w:rFonts w:ascii="Arial" w:eastAsia="Arial" w:hAnsi="Arial" w:cs="Arial"/>
          <w:color w:val="000000"/>
          <w:sz w:val="24"/>
          <w:szCs w:val="24"/>
        </w:rPr>
        <w:t xml:space="preserve">and shall not be included in the relevant amount or sum for the purposes of Paragraph </w:t>
      </w:r>
      <w:r>
        <w:rPr>
          <w:rFonts w:ascii="Arial" w:eastAsia="Arial" w:hAnsi="Arial" w:cs="Arial"/>
          <w:sz w:val="24"/>
          <w:szCs w:val="24"/>
        </w:rPr>
        <w:t>6.1</w:t>
      </w:r>
      <w:r>
        <w:rPr>
          <w:rFonts w:ascii="Arial" w:eastAsia="Arial" w:hAnsi="Arial" w:cs="Arial"/>
          <w:color w:val="000000"/>
          <w:sz w:val="24"/>
          <w:szCs w:val="24"/>
        </w:rPr>
        <w:t>:</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costs charged by the Supplier to the Buyer in respect of Supplier Assets</w:t>
      </w:r>
      <w:r>
        <w:rPr>
          <w:rFonts w:ascii="Arial" w:eastAsia="Arial" w:hAnsi="Arial" w:cs="Arial"/>
          <w:color w:val="000000"/>
          <w:sz w:val="24"/>
          <w:szCs w:val="24"/>
        </w:rPr>
        <w:t xml:space="preserve"> or Buyer Assets (including capital costs and installation, maintenance and support costs) which are incurred by the Supplier prior to the relevant adjustment date but which remain to be recovered through the Charges.</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Charges </w:t>
      </w:r>
      <w:r>
        <w:rPr>
          <w:rFonts w:ascii="Arial" w:eastAsia="Arial" w:hAnsi="Arial" w:cs="Arial"/>
          <w:sz w:val="24"/>
          <w:szCs w:val="24"/>
        </w:rPr>
        <w:t>shall not be indexed during th</w:t>
      </w:r>
      <w:r>
        <w:rPr>
          <w:rFonts w:ascii="Arial" w:eastAsia="Arial" w:hAnsi="Arial" w:cs="Arial"/>
          <w:sz w:val="24"/>
          <w:szCs w:val="24"/>
        </w:rPr>
        <w:t xml:space="preserve">e first two years following the Start Date </w:t>
      </w:r>
      <w:r>
        <w:rPr>
          <w:rFonts w:ascii="Arial" w:eastAsia="Arial" w:hAnsi="Arial" w:cs="Arial"/>
          <w:color w:val="000000"/>
          <w:sz w:val="24"/>
          <w:szCs w:val="24"/>
        </w:rPr>
        <w:t xml:space="preserve">(the </w:t>
      </w:r>
      <w:r>
        <w:rPr>
          <w:rFonts w:ascii="Arial" w:eastAsia="Arial" w:hAnsi="Arial" w:cs="Arial"/>
          <w:sz w:val="24"/>
          <w:szCs w:val="24"/>
        </w:rPr>
        <w:t>“</w:t>
      </w:r>
      <w:r>
        <w:rPr>
          <w:rFonts w:ascii="Arial" w:eastAsia="Arial" w:hAnsi="Arial" w:cs="Arial"/>
          <w:b/>
          <w:color w:val="000000"/>
          <w:sz w:val="24"/>
          <w:szCs w:val="24"/>
        </w:rPr>
        <w:t>Non-Indexa</w:t>
      </w:r>
      <w:r>
        <w:rPr>
          <w:rFonts w:ascii="Arial" w:eastAsia="Arial" w:hAnsi="Arial" w:cs="Arial"/>
          <w:b/>
          <w:sz w:val="24"/>
          <w:szCs w:val="24"/>
        </w:rPr>
        <w:t>tion Period</w:t>
      </w:r>
      <w:r>
        <w:rPr>
          <w:rFonts w:ascii="Arial" w:eastAsia="Arial" w:hAnsi="Arial" w:cs="Arial"/>
          <w:sz w:val="24"/>
          <w:szCs w:val="24"/>
        </w:rPr>
        <w:t>”)</w:t>
      </w:r>
      <w:r>
        <w:rPr>
          <w:rFonts w:ascii="Arial" w:eastAsia="Arial" w:hAnsi="Arial" w:cs="Arial"/>
          <w:color w:val="000000"/>
          <w:sz w:val="24"/>
          <w:szCs w:val="24"/>
        </w:rPr>
        <w:t>.</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0" w:name="_heading=h.1y810tw" w:colFirst="0" w:colLast="0"/>
      <w:bookmarkEnd w:id="10"/>
      <w:r>
        <w:rPr>
          <w:rFonts w:ascii="Arial" w:eastAsia="Arial" w:hAnsi="Arial" w:cs="Arial"/>
          <w:color w:val="000000"/>
          <w:sz w:val="24"/>
          <w:szCs w:val="24"/>
        </w:rPr>
        <w:t xml:space="preserve">Where Annex </w:t>
      </w:r>
      <w:r>
        <w:rPr>
          <w:rFonts w:ascii="Arial" w:eastAsia="Arial" w:hAnsi="Arial" w:cs="Arial"/>
          <w:sz w:val="24"/>
          <w:szCs w:val="24"/>
        </w:rPr>
        <w:t>1</w:t>
      </w:r>
      <w:r>
        <w:rPr>
          <w:rFonts w:ascii="Arial" w:eastAsia="Arial" w:hAnsi="Arial" w:cs="Arial"/>
          <w:color w:val="000000"/>
          <w:sz w:val="24"/>
          <w:szCs w:val="24"/>
        </w:rPr>
        <w:t xml:space="preserve"> states a Charge is subject to Indexation then it will be indexed on the date after the end of the Non-Indexation Period to reflect the percentage change in the </w:t>
      </w:r>
      <w:r>
        <w:rPr>
          <w:rFonts w:ascii="Arial" w:eastAsia="Arial" w:hAnsi="Arial" w:cs="Arial"/>
          <w:sz w:val="24"/>
          <w:szCs w:val="24"/>
        </w:rPr>
        <w:t>Index on</w:t>
      </w:r>
      <w:r>
        <w:rPr>
          <w:rFonts w:ascii="Arial" w:eastAsia="Arial" w:hAnsi="Arial" w:cs="Arial"/>
          <w:sz w:val="24"/>
          <w:szCs w:val="24"/>
        </w:rPr>
        <w:t xml:space="preserve"> a compound basis during the Non-Indexation Period</w:t>
      </w:r>
      <w:r>
        <w:rPr>
          <w:rFonts w:ascii="Arial" w:eastAsia="Arial" w:hAnsi="Arial" w:cs="Arial"/>
          <w:color w:val="000000"/>
          <w:sz w:val="24"/>
          <w:szCs w:val="24"/>
        </w:rPr>
        <w:t xml:space="preserve">.  Subsequent adjustments </w:t>
      </w:r>
      <w:r>
        <w:rPr>
          <w:rFonts w:ascii="Arial" w:eastAsia="Arial" w:hAnsi="Arial" w:cs="Arial"/>
          <w:sz w:val="24"/>
          <w:szCs w:val="24"/>
        </w:rPr>
        <w:t xml:space="preserve">shall take place </w:t>
      </w:r>
      <w:r>
        <w:rPr>
          <w:rFonts w:ascii="Arial" w:eastAsia="Arial" w:hAnsi="Arial" w:cs="Arial"/>
          <w:color w:val="000000"/>
          <w:sz w:val="24"/>
          <w:szCs w:val="24"/>
        </w:rPr>
        <w:t xml:space="preserve">on each following </w:t>
      </w:r>
      <w:proofErr w:type="gramStart"/>
      <w:r>
        <w:rPr>
          <w:rFonts w:ascii="Arial" w:eastAsia="Arial" w:hAnsi="Arial" w:cs="Arial"/>
          <w:sz w:val="24"/>
          <w:szCs w:val="24"/>
        </w:rPr>
        <w:t>two yearly</w:t>
      </w:r>
      <w:proofErr w:type="gramEnd"/>
      <w:r>
        <w:rPr>
          <w:rFonts w:ascii="Arial" w:eastAsia="Arial" w:hAnsi="Arial" w:cs="Arial"/>
          <w:sz w:val="24"/>
          <w:szCs w:val="24"/>
        </w:rPr>
        <w:t xml:space="preserve"> </w:t>
      </w:r>
      <w:r>
        <w:rPr>
          <w:rFonts w:ascii="Arial" w:eastAsia="Arial" w:hAnsi="Arial" w:cs="Arial"/>
          <w:sz w:val="24"/>
          <w:szCs w:val="24"/>
          <w:highlight w:val="white"/>
        </w:rPr>
        <w:t xml:space="preserve">anniversaries </w:t>
      </w:r>
      <w:r>
        <w:rPr>
          <w:rFonts w:ascii="Arial" w:eastAsia="Arial" w:hAnsi="Arial" w:cs="Arial"/>
          <w:color w:val="000000"/>
          <w:sz w:val="24"/>
          <w:szCs w:val="24"/>
        </w:rPr>
        <w:t xml:space="preserve">to reflect the percentage change in the </w:t>
      </w:r>
      <w:r>
        <w:rPr>
          <w:rFonts w:ascii="Arial" w:eastAsia="Arial" w:hAnsi="Arial" w:cs="Arial"/>
          <w:sz w:val="24"/>
          <w:szCs w:val="24"/>
        </w:rPr>
        <w:t xml:space="preserve">Index </w:t>
      </w:r>
      <w:r>
        <w:rPr>
          <w:rFonts w:ascii="Arial" w:eastAsia="Arial" w:hAnsi="Arial" w:cs="Arial"/>
          <w:color w:val="000000"/>
          <w:sz w:val="24"/>
          <w:szCs w:val="24"/>
        </w:rPr>
        <w:t>since the previous change.</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Indexation shall not apply to any Charges made in respect of onboarding costs or any capital costs incurred at any time.</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sz w:val="24"/>
          <w:szCs w:val="24"/>
        </w:rPr>
      </w:pPr>
      <w:bookmarkStart w:id="11" w:name="_heading=h.fqukgitg7sv" w:colFirst="0" w:colLast="0"/>
      <w:bookmarkEnd w:id="11"/>
      <w:r>
        <w:rPr>
          <w:rFonts w:ascii="Arial" w:eastAsia="Arial" w:hAnsi="Arial" w:cs="Arial"/>
          <w:sz w:val="24"/>
          <w:szCs w:val="24"/>
        </w:rPr>
        <w:t>The Authority reserves the right to change the Indexation clause before any contractual extension periods are enacted.</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sz w:val="24"/>
          <w:szCs w:val="24"/>
        </w:rPr>
      </w:pPr>
      <w:bookmarkStart w:id="12" w:name="_heading=h.p36g1a6zyy3n" w:colFirst="0" w:colLast="0"/>
      <w:bookmarkEnd w:id="12"/>
      <w:r>
        <w:rPr>
          <w:rFonts w:ascii="Arial" w:eastAsia="Arial" w:hAnsi="Arial" w:cs="Arial"/>
          <w:sz w:val="24"/>
          <w:szCs w:val="24"/>
        </w:rPr>
        <w:t>It should be noted that Charges in relation to Inflation can increase (increased charge to the Authority) or reduce (reduced charge to the Authority) depending on percentage change during the period.</w:t>
      </w:r>
    </w:p>
    <w:p w:rsidR="007B7B30" w:rsidRDefault="006561A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Where the </w:t>
      </w:r>
      <w:r>
        <w:rPr>
          <w:rFonts w:ascii="Arial" w:eastAsia="Arial" w:hAnsi="Arial" w:cs="Arial"/>
          <w:sz w:val="24"/>
          <w:szCs w:val="24"/>
        </w:rPr>
        <w:t>Index</w:t>
      </w:r>
      <w:r>
        <w:rPr>
          <w:rFonts w:ascii="Arial" w:eastAsia="Arial" w:hAnsi="Arial" w:cs="Arial"/>
          <w:color w:val="000000"/>
          <w:sz w:val="24"/>
          <w:szCs w:val="24"/>
        </w:rPr>
        <w:t>:</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used to carry out an indexation calcula</w:t>
      </w:r>
      <w:r>
        <w:rPr>
          <w:rFonts w:ascii="Arial" w:eastAsia="Arial" w:hAnsi="Arial" w:cs="Arial"/>
          <w:color w:val="000000"/>
          <w:sz w:val="24"/>
          <w:szCs w:val="24"/>
        </w:rPr>
        <w:t>tion is updated (for example due to it being provisional) then the indexation calculation shall also be updated unless the Buyer and the Supplier agree otherwise; or</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sz w:val="24"/>
          <w:szCs w:val="24"/>
        </w:rPr>
        <w:t xml:space="preserve">is </w:t>
      </w:r>
      <w:r>
        <w:rPr>
          <w:rFonts w:ascii="Arial" w:eastAsia="Arial" w:hAnsi="Arial" w:cs="Arial"/>
          <w:color w:val="000000"/>
          <w:sz w:val="24"/>
          <w:szCs w:val="24"/>
        </w:rPr>
        <w:t xml:space="preserve">no longer published, the Buyer and the Supplier shall agree </w:t>
      </w:r>
      <w:r>
        <w:rPr>
          <w:rFonts w:ascii="Arial" w:eastAsia="Arial" w:hAnsi="Arial" w:cs="Arial"/>
          <w:sz w:val="24"/>
          <w:szCs w:val="24"/>
        </w:rPr>
        <w:t xml:space="preserve">an appropriate replacement </w:t>
      </w:r>
      <w:r>
        <w:rPr>
          <w:rFonts w:ascii="Arial" w:eastAsia="Arial" w:hAnsi="Arial" w:cs="Arial"/>
          <w:sz w:val="24"/>
          <w:szCs w:val="24"/>
        </w:rPr>
        <w:t>index which shall cover to the maximum extent possible the same economic activities as the original index</w:t>
      </w:r>
      <w:r>
        <w:rPr>
          <w:rFonts w:ascii="Arial" w:eastAsia="Arial" w:hAnsi="Arial" w:cs="Arial"/>
          <w:color w:val="000000"/>
          <w:sz w:val="24"/>
          <w:szCs w:val="24"/>
        </w:rPr>
        <w:t>.</w:t>
      </w:r>
    </w:p>
    <w:p w:rsidR="007B7B30" w:rsidRDefault="006561A8">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13" w:name="_heading=h.35nkun2" w:colFirst="0" w:colLast="0"/>
      <w:bookmarkEnd w:id="13"/>
      <w:r>
        <w:rPr>
          <w:rFonts w:ascii="Arial" w:eastAsia="Arial" w:hAnsi="Arial" w:cs="Arial"/>
          <w:b/>
          <w:color w:val="000000"/>
          <w:sz w:val="24"/>
          <w:szCs w:val="24"/>
        </w:rPr>
        <w:t>Benchmarking</w:t>
      </w:r>
    </w:p>
    <w:p w:rsidR="007B7B30" w:rsidRDefault="006561A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sz w:val="24"/>
          <w:szCs w:val="24"/>
        </w:rPr>
        <w:t xml:space="preserve">Notwithstanding the provisions of paragraph 6 of this Schedule 3 (Charges), the Charges may at any time after the Non-Indexation Period be subject to a benchmarking review. The benchmarking process shall </w:t>
      </w:r>
      <w:proofErr w:type="gramStart"/>
      <w:r>
        <w:rPr>
          <w:rFonts w:ascii="Arial" w:eastAsia="Arial" w:hAnsi="Arial" w:cs="Arial"/>
          <w:color w:val="000000"/>
          <w:sz w:val="24"/>
          <w:szCs w:val="24"/>
        </w:rPr>
        <w:t>involve  comparison</w:t>
      </w:r>
      <w:proofErr w:type="gramEnd"/>
      <w:r>
        <w:rPr>
          <w:rFonts w:ascii="Arial" w:eastAsia="Arial" w:hAnsi="Arial" w:cs="Arial"/>
          <w:color w:val="000000"/>
          <w:sz w:val="24"/>
          <w:szCs w:val="24"/>
        </w:rPr>
        <w:t xml:space="preserve"> of the Charges with market rates</w:t>
      </w:r>
      <w:r>
        <w:rPr>
          <w:rFonts w:ascii="Arial" w:eastAsia="Arial" w:hAnsi="Arial" w:cs="Arial"/>
          <w:color w:val="000000"/>
          <w:sz w:val="24"/>
          <w:szCs w:val="24"/>
        </w:rPr>
        <w:t>, industry standards and any other relevant factors. Adjustments to the Charges may be made following the benchmarking review, provided that both Parties agree to any necessary modifications.</w:t>
      </w:r>
    </w:p>
    <w:p w:rsidR="007B7B30" w:rsidRDefault="006561A8">
      <w:pPr>
        <w:numPr>
          <w:ilvl w:val="1"/>
          <w:numId w:val="1"/>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sz w:val="24"/>
          <w:szCs w:val="24"/>
        </w:rPr>
        <w:t>The benchmarking review shall be conducted to ensure that the Ch</w:t>
      </w:r>
      <w:r>
        <w:rPr>
          <w:rFonts w:ascii="Arial" w:eastAsia="Arial" w:hAnsi="Arial" w:cs="Arial"/>
          <w:color w:val="000000"/>
          <w:sz w:val="24"/>
          <w:szCs w:val="24"/>
        </w:rPr>
        <w:t>arges remain fair, competitive and reflective of prevailing market conditions.</w:t>
      </w:r>
    </w:p>
    <w:p w:rsidR="007B7B30" w:rsidRDefault="006561A8">
      <w:pPr>
        <w:numPr>
          <w:ilvl w:val="1"/>
          <w:numId w:val="1"/>
        </w:numPr>
        <w:pBdr>
          <w:top w:val="nil"/>
          <w:left w:val="nil"/>
          <w:bottom w:val="nil"/>
          <w:right w:val="nil"/>
          <w:between w:val="nil"/>
        </w:pBdr>
        <w:tabs>
          <w:tab w:val="left" w:pos="0"/>
        </w:tabs>
        <w:spacing w:after="120" w:line="240" w:lineRule="auto"/>
        <w:jc w:val="both"/>
        <w:rPr>
          <w:color w:val="000000"/>
        </w:rPr>
      </w:pPr>
      <w:r>
        <w:rPr>
          <w:rFonts w:ascii="Arial" w:eastAsia="Arial" w:hAnsi="Arial" w:cs="Arial"/>
          <w:sz w:val="24"/>
          <w:szCs w:val="24"/>
        </w:rPr>
        <w:t>A benchmarking review cannot be conducted more frequently than bi-annually.</w:t>
      </w:r>
    </w:p>
    <w:p w:rsidR="007B7B30" w:rsidRDefault="006561A8">
      <w:pPr>
        <w:keepNext/>
        <w:numPr>
          <w:ilvl w:val="0"/>
          <w:numId w:val="1"/>
        </w:numPr>
        <w:pBdr>
          <w:top w:val="nil"/>
          <w:left w:val="nil"/>
          <w:bottom w:val="nil"/>
          <w:right w:val="nil"/>
          <w:between w:val="nil"/>
        </w:pBdr>
        <w:tabs>
          <w:tab w:val="left" w:pos="0"/>
        </w:tabs>
        <w:spacing w:before="120" w:after="240" w:line="240" w:lineRule="auto"/>
        <w:rPr>
          <w:color w:val="000000"/>
          <w:sz w:val="24"/>
          <w:szCs w:val="24"/>
        </w:rPr>
      </w:pPr>
      <w:r>
        <w:rPr>
          <w:rFonts w:ascii="Arial" w:eastAsia="Arial" w:hAnsi="Arial" w:cs="Arial"/>
          <w:b/>
          <w:color w:val="000000"/>
          <w:sz w:val="24"/>
          <w:szCs w:val="24"/>
        </w:rPr>
        <w:t>When you will be reimbursed for travel and subsistence</w:t>
      </w:r>
    </w:p>
    <w:p w:rsidR="007B7B30" w:rsidRDefault="006561A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Award Form states that recovery is permitted; and</w:t>
      </w:r>
    </w:p>
    <w:p w:rsidR="007B7B30" w:rsidRDefault="006561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they are Reimbursable Expenses and are supported by Supporting Documentation.</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4" w:name="_heading=h.3dy6vkm" w:colFirst="0" w:colLast="0"/>
      <w:bookmarkEnd w:id="14"/>
      <w:r>
        <w:rPr>
          <w:rFonts w:ascii="Arial" w:eastAsia="Arial" w:hAnsi="Arial" w:cs="Arial"/>
          <w:color w:val="000000"/>
          <w:sz w:val="24"/>
          <w:szCs w:val="24"/>
        </w:rPr>
        <w:t>The Buyer shall provide a copy of their current expenses policy to the</w:t>
      </w:r>
      <w:r>
        <w:rPr>
          <w:rFonts w:ascii="Arial" w:eastAsia="Arial" w:hAnsi="Arial" w:cs="Arial"/>
          <w:color w:val="000000"/>
          <w:sz w:val="24"/>
          <w:szCs w:val="24"/>
        </w:rPr>
        <w:t xml:space="preserve"> Supplier upon request.</w:t>
      </w:r>
    </w:p>
    <w:p w:rsidR="007B7B30" w:rsidRDefault="006561A8">
      <w:pPr>
        <w:numPr>
          <w:ilvl w:val="0"/>
          <w:numId w:val="1"/>
        </w:numPr>
        <w:pBdr>
          <w:top w:val="nil"/>
          <w:left w:val="nil"/>
          <w:bottom w:val="nil"/>
          <w:right w:val="nil"/>
          <w:between w:val="nil"/>
        </w:pBdr>
        <w:tabs>
          <w:tab w:val="left" w:pos="1134"/>
        </w:tabs>
        <w:spacing w:before="120" w:after="120" w:line="240" w:lineRule="auto"/>
        <w:rPr>
          <w:b/>
          <w:sz w:val="24"/>
          <w:szCs w:val="24"/>
        </w:rPr>
      </w:pPr>
      <w:bookmarkStart w:id="15" w:name="_heading=h.ckwid35is30h" w:colFirst="0" w:colLast="0"/>
      <w:bookmarkEnd w:id="15"/>
      <w:r>
        <w:rPr>
          <w:rFonts w:ascii="Arial" w:eastAsia="Arial" w:hAnsi="Arial" w:cs="Arial"/>
          <w:b/>
          <w:sz w:val="24"/>
          <w:szCs w:val="24"/>
        </w:rPr>
        <w:t>Payment</w:t>
      </w:r>
    </w:p>
    <w:p w:rsidR="007B7B30" w:rsidRDefault="006561A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sz w:val="24"/>
          <w:szCs w:val="24"/>
        </w:rPr>
      </w:pPr>
      <w:bookmarkStart w:id="16" w:name="_heading=h.o2nw7pm1o8bb" w:colFirst="0" w:colLast="0"/>
      <w:bookmarkEnd w:id="16"/>
      <w:r>
        <w:rPr>
          <w:rFonts w:ascii="Arial" w:eastAsia="Arial" w:hAnsi="Arial" w:cs="Arial"/>
          <w:sz w:val="24"/>
          <w:szCs w:val="24"/>
        </w:rPr>
        <w:t>The Charges shall be paid by the Buyer in accordance with the Payment Profile in Annex 3 and the terms of Clause 4.</w:t>
      </w:r>
    </w:p>
    <w:p w:rsidR="007B7B30" w:rsidRDefault="007B7B30">
      <w:pPr>
        <w:pBdr>
          <w:top w:val="nil"/>
          <w:left w:val="nil"/>
          <w:bottom w:val="nil"/>
          <w:right w:val="nil"/>
          <w:between w:val="nil"/>
        </w:pBdr>
        <w:tabs>
          <w:tab w:val="left" w:pos="1134"/>
        </w:tabs>
        <w:spacing w:before="120" w:after="120" w:line="240" w:lineRule="auto"/>
        <w:ind w:left="285" w:hanging="547"/>
        <w:rPr>
          <w:rFonts w:ascii="Arial" w:eastAsia="Arial" w:hAnsi="Arial" w:cs="Arial"/>
          <w:color w:val="000000"/>
          <w:sz w:val="24"/>
          <w:szCs w:val="24"/>
        </w:rPr>
      </w:pPr>
    </w:p>
    <w:p w:rsidR="007B7B30" w:rsidRDefault="006561A8">
      <w:pPr>
        <w:rPr>
          <w:rFonts w:ascii="Arial" w:eastAsia="Arial" w:hAnsi="Arial" w:cs="Arial"/>
          <w:b/>
          <w:i/>
          <w:color w:val="000000"/>
          <w:sz w:val="24"/>
          <w:szCs w:val="24"/>
        </w:rPr>
      </w:pPr>
      <w:bookmarkStart w:id="17" w:name="_heading=h.1t3h5sf" w:colFirst="0" w:colLast="0"/>
      <w:bookmarkEnd w:id="17"/>
      <w:r>
        <w:br w:type="page"/>
      </w:r>
      <w:r>
        <w:rPr>
          <w:rFonts w:ascii="Arial" w:eastAsia="Arial" w:hAnsi="Arial" w:cs="Arial"/>
          <w:b/>
          <w:sz w:val="36"/>
          <w:szCs w:val="36"/>
        </w:rPr>
        <w:lastRenderedPageBreak/>
        <w:t xml:space="preserve">Annex </w:t>
      </w:r>
      <w:bookmarkStart w:id="18" w:name="bookmark=id.4i7ojhp" w:colFirst="0" w:colLast="0"/>
      <w:bookmarkEnd w:id="18"/>
      <w:r>
        <w:rPr>
          <w:rFonts w:ascii="Arial" w:eastAsia="Arial" w:hAnsi="Arial" w:cs="Arial"/>
          <w:b/>
          <w:sz w:val="36"/>
          <w:szCs w:val="36"/>
        </w:rPr>
        <w:t>1: Rates and Prices</w:t>
      </w:r>
    </w:p>
    <w:p w:rsidR="007B7B30" w:rsidRDefault="007B7B30">
      <w:pPr>
        <w:keepNext/>
        <w:pBdr>
          <w:top w:val="nil"/>
          <w:left w:val="nil"/>
          <w:bottom w:val="nil"/>
          <w:right w:val="nil"/>
          <w:between w:val="nil"/>
        </w:pBdr>
        <w:spacing w:before="120" w:after="120" w:line="240" w:lineRule="auto"/>
        <w:rPr>
          <w:rFonts w:ascii="Arial" w:eastAsia="Arial" w:hAnsi="Arial" w:cs="Arial"/>
          <w:b/>
          <w:i/>
          <w:color w:val="000000"/>
          <w:sz w:val="24"/>
          <w:szCs w:val="24"/>
        </w:rPr>
      </w:pPr>
    </w:p>
    <w:p w:rsidR="007B7B30" w:rsidRDefault="007B7B30">
      <w:pPr>
        <w:rPr>
          <w:rFonts w:ascii="Arial" w:eastAsia="Arial" w:hAnsi="Arial" w:cs="Arial"/>
          <w:b/>
          <w:sz w:val="24"/>
          <w:szCs w:val="24"/>
        </w:rPr>
      </w:pPr>
    </w:p>
    <w:p w:rsidR="007B7B30" w:rsidRDefault="003331B8">
      <w:pPr>
        <w:rPr>
          <w:rFonts w:ascii="Arial" w:eastAsia="Arial" w:hAnsi="Arial" w:cs="Arial"/>
          <w:b/>
          <w:sz w:val="24"/>
          <w:szCs w:val="24"/>
        </w:rPr>
      </w:pPr>
      <w:r w:rsidRPr="003331B8">
        <w:rPr>
          <w:rFonts w:ascii="Arial" w:eastAsia="Arial" w:hAnsi="Arial" w:cs="Arial"/>
          <w:b/>
          <w:sz w:val="24"/>
          <w:szCs w:val="24"/>
        </w:rPr>
        <w:t>Redacted under FOIA section 43, Commercial Interests</w:t>
      </w:r>
    </w:p>
    <w:p w:rsidR="007B7B30" w:rsidRDefault="007B7B30">
      <w:pPr>
        <w:rPr>
          <w:rFonts w:ascii="Arial" w:eastAsia="Arial" w:hAnsi="Arial" w:cs="Arial"/>
          <w:b/>
          <w:sz w:val="24"/>
          <w:szCs w:val="24"/>
        </w:rPr>
      </w:pPr>
    </w:p>
    <w:p w:rsidR="007B7B30" w:rsidRDefault="006561A8">
      <w:pPr>
        <w:rPr>
          <w:rFonts w:ascii="Arial" w:eastAsia="Arial" w:hAnsi="Arial" w:cs="Arial"/>
          <w:b/>
          <w:sz w:val="24"/>
          <w:szCs w:val="24"/>
        </w:rPr>
      </w:pPr>
      <w:r>
        <w:br w:type="page"/>
      </w:r>
    </w:p>
    <w:p w:rsidR="007B7B30" w:rsidRDefault="007B7B30">
      <w:pPr>
        <w:rPr>
          <w:rFonts w:ascii="Arial" w:eastAsia="Arial" w:hAnsi="Arial" w:cs="Arial"/>
          <w:b/>
          <w:sz w:val="24"/>
          <w:szCs w:val="24"/>
        </w:rPr>
      </w:pPr>
      <w:bookmarkStart w:id="19" w:name="_GoBack"/>
      <w:bookmarkEnd w:id="19"/>
    </w:p>
    <w:p w:rsidR="007B7B30" w:rsidRDefault="007B7B30">
      <w:pPr>
        <w:rPr>
          <w:rFonts w:ascii="Arial" w:eastAsia="Arial" w:hAnsi="Arial" w:cs="Arial"/>
          <w:b/>
          <w:sz w:val="24"/>
          <w:szCs w:val="24"/>
        </w:rPr>
      </w:pPr>
    </w:p>
    <w:p w:rsidR="007B7B30" w:rsidRDefault="007B7B30">
      <w:pPr>
        <w:rPr>
          <w:rFonts w:ascii="Arial" w:eastAsia="Arial" w:hAnsi="Arial" w:cs="Arial"/>
          <w:b/>
          <w:sz w:val="24"/>
          <w:szCs w:val="24"/>
        </w:rPr>
        <w:sectPr w:rsidR="007B7B3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800" w:left="1440" w:header="706" w:footer="706" w:gutter="0"/>
          <w:pgNumType w:start="1"/>
          <w:cols w:space="720"/>
        </w:sectPr>
      </w:pPr>
    </w:p>
    <w:p w:rsidR="007B7B30" w:rsidRDefault="006561A8">
      <w:pPr>
        <w:rPr>
          <w:rFonts w:ascii="Arial" w:eastAsia="Arial" w:hAnsi="Arial" w:cs="Arial"/>
          <w:i/>
          <w:sz w:val="24"/>
          <w:szCs w:val="24"/>
        </w:rPr>
      </w:pPr>
      <w:r>
        <w:rPr>
          <w:rFonts w:ascii="Arial" w:eastAsia="Arial" w:hAnsi="Arial" w:cs="Arial"/>
          <w:b/>
          <w:sz w:val="36"/>
          <w:szCs w:val="36"/>
        </w:rPr>
        <w:lastRenderedPageBreak/>
        <w:t xml:space="preserve">Annex </w:t>
      </w:r>
      <w:bookmarkStart w:id="20" w:name="bookmark=id.2xcytpi" w:colFirst="0" w:colLast="0"/>
      <w:bookmarkEnd w:id="20"/>
      <w:r>
        <w:rPr>
          <w:rFonts w:ascii="Arial" w:eastAsia="Arial" w:hAnsi="Arial" w:cs="Arial"/>
          <w:b/>
          <w:sz w:val="36"/>
          <w:szCs w:val="36"/>
        </w:rPr>
        <w:t>2: Not Used</w:t>
      </w:r>
    </w:p>
    <w:p w:rsidR="007B7B30" w:rsidRDefault="007B7B30">
      <w:pPr>
        <w:keepNext/>
        <w:pBdr>
          <w:top w:val="nil"/>
          <w:left w:val="nil"/>
          <w:bottom w:val="nil"/>
          <w:right w:val="nil"/>
          <w:between w:val="nil"/>
        </w:pBdr>
        <w:spacing w:before="240" w:after="120" w:line="240" w:lineRule="auto"/>
        <w:ind w:left="142"/>
        <w:jc w:val="center"/>
        <w:rPr>
          <w:b/>
          <w:color w:val="000000"/>
        </w:rPr>
      </w:pPr>
    </w:p>
    <w:p w:rsidR="007B7B30" w:rsidRDefault="007B7B30">
      <w:pPr>
        <w:rPr>
          <w:rFonts w:ascii="Arial" w:eastAsia="Arial" w:hAnsi="Arial" w:cs="Arial"/>
          <w:sz w:val="24"/>
          <w:szCs w:val="24"/>
        </w:rPr>
      </w:pPr>
    </w:p>
    <w:p w:rsidR="007B7B30" w:rsidRDefault="006561A8">
      <w:pPr>
        <w:rPr>
          <w:rFonts w:ascii="Arial" w:eastAsia="Arial" w:hAnsi="Arial" w:cs="Arial"/>
          <w:b/>
          <w:sz w:val="36"/>
          <w:szCs w:val="36"/>
        </w:rPr>
      </w:pPr>
      <w:r>
        <w:rPr>
          <w:rFonts w:ascii="Arial" w:eastAsia="Arial" w:hAnsi="Arial" w:cs="Arial"/>
          <w:b/>
          <w:sz w:val="36"/>
          <w:szCs w:val="36"/>
        </w:rPr>
        <w:t>Annex</w:t>
      </w:r>
      <w:bookmarkStart w:id="21" w:name="bookmark=kix.il5oahiux7ue" w:colFirst="0" w:colLast="0"/>
      <w:bookmarkEnd w:id="21"/>
      <w:r>
        <w:rPr>
          <w:rFonts w:ascii="Arial" w:eastAsia="Arial" w:hAnsi="Arial" w:cs="Arial"/>
          <w:b/>
          <w:sz w:val="36"/>
          <w:szCs w:val="36"/>
        </w:rPr>
        <w:t xml:space="preserve"> 3: Payment Profile</w:t>
      </w:r>
    </w:p>
    <w:p w:rsidR="007B7B30" w:rsidRDefault="007B7B30">
      <w:pPr>
        <w:rPr>
          <w:rFonts w:ascii="Arial" w:eastAsia="Arial" w:hAnsi="Arial" w:cs="Arial"/>
          <w:b/>
          <w:sz w:val="36"/>
          <w:szCs w:val="36"/>
        </w:rPr>
      </w:pPr>
    </w:p>
    <w:p w:rsidR="007B7B30" w:rsidRDefault="007B7B30">
      <w:pPr>
        <w:spacing w:after="0"/>
        <w:rPr>
          <w:rFonts w:ascii="Arial" w:eastAsia="Arial" w:hAnsi="Arial" w:cs="Arial"/>
          <w:b/>
          <w:sz w:val="24"/>
          <w:szCs w:val="24"/>
        </w:rPr>
      </w:pPr>
    </w:p>
    <w:tbl>
      <w:tblPr>
        <w:tblStyle w:val="af0"/>
        <w:tblW w:w="149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60"/>
        <w:gridCol w:w="2020"/>
        <w:gridCol w:w="3920"/>
        <w:gridCol w:w="1480"/>
        <w:gridCol w:w="1520"/>
        <w:gridCol w:w="1460"/>
        <w:gridCol w:w="1580"/>
      </w:tblGrid>
      <w:tr w:rsidR="007B7B30">
        <w:trPr>
          <w:trHeight w:val="400"/>
          <w:tblHeader/>
        </w:trPr>
        <w:tc>
          <w:tcPr>
            <w:tcW w:w="2960" w:type="dxa"/>
            <w:vMerge w:val="restart"/>
            <w:shd w:val="clear" w:color="auto" w:fill="CCCCCC"/>
            <w:tcMar>
              <w:top w:w="100" w:type="dxa"/>
              <w:left w:w="100" w:type="dxa"/>
              <w:bottom w:w="100" w:type="dxa"/>
              <w:right w:w="100" w:type="dxa"/>
            </w:tcMar>
          </w:tcPr>
          <w:p w:rsidR="007B7B30" w:rsidRDefault="007B7B30">
            <w:pPr>
              <w:widowControl w:val="0"/>
              <w:jc w:val="center"/>
              <w:rPr>
                <w:rFonts w:ascii="Arial" w:eastAsia="Arial" w:hAnsi="Arial" w:cs="Arial"/>
                <w:b/>
                <w:sz w:val="20"/>
                <w:szCs w:val="20"/>
              </w:rPr>
            </w:pPr>
          </w:p>
          <w:p w:rsidR="007B7B30" w:rsidRDefault="006561A8">
            <w:pPr>
              <w:widowControl w:val="0"/>
              <w:jc w:val="center"/>
              <w:rPr>
                <w:rFonts w:ascii="Arial" w:eastAsia="Arial" w:hAnsi="Arial" w:cs="Arial"/>
                <w:b/>
                <w:sz w:val="20"/>
                <w:szCs w:val="20"/>
              </w:rPr>
            </w:pPr>
            <w:r>
              <w:rPr>
                <w:rFonts w:ascii="Arial" w:eastAsia="Arial" w:hAnsi="Arial" w:cs="Arial"/>
                <w:b/>
                <w:sz w:val="20"/>
                <w:szCs w:val="20"/>
              </w:rPr>
              <w:t>Charge Type</w:t>
            </w:r>
          </w:p>
        </w:tc>
        <w:tc>
          <w:tcPr>
            <w:tcW w:w="2020" w:type="dxa"/>
            <w:vMerge w:val="restart"/>
            <w:shd w:val="clear" w:color="auto" w:fill="CCCCCC"/>
            <w:tcMar>
              <w:top w:w="100" w:type="dxa"/>
              <w:left w:w="100" w:type="dxa"/>
              <w:bottom w:w="100" w:type="dxa"/>
              <w:right w:w="100" w:type="dxa"/>
            </w:tcMar>
          </w:tcPr>
          <w:p w:rsidR="007B7B30" w:rsidRDefault="007B7B30">
            <w:pPr>
              <w:widowControl w:val="0"/>
              <w:jc w:val="center"/>
              <w:rPr>
                <w:rFonts w:ascii="Arial" w:eastAsia="Arial" w:hAnsi="Arial" w:cs="Arial"/>
                <w:b/>
                <w:sz w:val="20"/>
                <w:szCs w:val="20"/>
              </w:rPr>
            </w:pPr>
          </w:p>
          <w:p w:rsidR="007B7B30" w:rsidRDefault="006561A8">
            <w:pPr>
              <w:widowControl w:val="0"/>
              <w:jc w:val="center"/>
              <w:rPr>
                <w:rFonts w:ascii="Arial" w:eastAsia="Arial" w:hAnsi="Arial" w:cs="Arial"/>
                <w:b/>
                <w:sz w:val="20"/>
                <w:szCs w:val="20"/>
              </w:rPr>
            </w:pPr>
            <w:r>
              <w:rPr>
                <w:rFonts w:ascii="Arial" w:eastAsia="Arial" w:hAnsi="Arial" w:cs="Arial"/>
                <w:b/>
                <w:sz w:val="20"/>
                <w:szCs w:val="20"/>
              </w:rPr>
              <w:t>Charge basis</w:t>
            </w:r>
          </w:p>
        </w:tc>
        <w:tc>
          <w:tcPr>
            <w:tcW w:w="3920" w:type="dxa"/>
            <w:vMerge w:val="restart"/>
            <w:shd w:val="clear" w:color="auto" w:fill="CCCCCC"/>
            <w:tcMar>
              <w:top w:w="100" w:type="dxa"/>
              <w:left w:w="100" w:type="dxa"/>
              <w:bottom w:w="100" w:type="dxa"/>
              <w:right w:w="100" w:type="dxa"/>
            </w:tcMar>
          </w:tcPr>
          <w:p w:rsidR="007B7B30" w:rsidRDefault="007B7B30">
            <w:pPr>
              <w:widowControl w:val="0"/>
              <w:jc w:val="center"/>
              <w:rPr>
                <w:rFonts w:ascii="Arial" w:eastAsia="Arial" w:hAnsi="Arial" w:cs="Arial"/>
                <w:b/>
                <w:sz w:val="20"/>
                <w:szCs w:val="20"/>
              </w:rPr>
            </w:pPr>
          </w:p>
          <w:p w:rsidR="007B7B30" w:rsidRDefault="006561A8">
            <w:pPr>
              <w:widowControl w:val="0"/>
              <w:jc w:val="center"/>
              <w:rPr>
                <w:rFonts w:ascii="Arial" w:eastAsia="Arial" w:hAnsi="Arial" w:cs="Arial"/>
                <w:b/>
                <w:sz w:val="20"/>
                <w:szCs w:val="20"/>
              </w:rPr>
            </w:pPr>
            <w:r>
              <w:rPr>
                <w:rFonts w:ascii="Arial" w:eastAsia="Arial" w:hAnsi="Arial" w:cs="Arial"/>
                <w:b/>
                <w:sz w:val="20"/>
                <w:szCs w:val="20"/>
              </w:rPr>
              <w:t>Payment Milestones</w:t>
            </w:r>
          </w:p>
        </w:tc>
        <w:tc>
          <w:tcPr>
            <w:tcW w:w="6040" w:type="dxa"/>
            <w:gridSpan w:val="4"/>
            <w:shd w:val="clear" w:color="auto" w:fill="CCCCCC"/>
            <w:tcMar>
              <w:top w:w="100" w:type="dxa"/>
              <w:left w:w="100" w:type="dxa"/>
              <w:bottom w:w="100" w:type="dxa"/>
              <w:right w:w="100" w:type="dxa"/>
            </w:tcMar>
          </w:tcPr>
          <w:p w:rsidR="007B7B30" w:rsidRDefault="006561A8">
            <w:pPr>
              <w:widowControl w:val="0"/>
              <w:jc w:val="center"/>
              <w:rPr>
                <w:rFonts w:ascii="Arial" w:eastAsia="Arial" w:hAnsi="Arial" w:cs="Arial"/>
                <w:b/>
                <w:sz w:val="20"/>
                <w:szCs w:val="20"/>
              </w:rPr>
            </w:pPr>
            <w:r>
              <w:rPr>
                <w:rFonts w:ascii="Arial" w:eastAsia="Arial" w:hAnsi="Arial" w:cs="Arial"/>
                <w:b/>
                <w:sz w:val="20"/>
                <w:szCs w:val="20"/>
              </w:rPr>
              <w:t>Annual Payment Profile</w:t>
            </w:r>
          </w:p>
        </w:tc>
      </w:tr>
      <w:tr w:rsidR="007B7B30">
        <w:trPr>
          <w:trHeight w:val="400"/>
          <w:tblHeader/>
        </w:trPr>
        <w:tc>
          <w:tcPr>
            <w:tcW w:w="2960" w:type="dxa"/>
            <w:vMerge/>
            <w:shd w:val="clear" w:color="auto" w:fill="CCCCCC"/>
            <w:tcMar>
              <w:top w:w="100" w:type="dxa"/>
              <w:left w:w="100" w:type="dxa"/>
              <w:bottom w:w="100" w:type="dxa"/>
              <w:right w:w="100" w:type="dxa"/>
            </w:tcMar>
          </w:tcPr>
          <w:p w:rsidR="007B7B30" w:rsidRDefault="007B7B30">
            <w:pPr>
              <w:widowControl w:val="0"/>
              <w:pBdr>
                <w:top w:val="nil"/>
                <w:left w:val="nil"/>
                <w:bottom w:val="nil"/>
                <w:right w:val="nil"/>
                <w:between w:val="nil"/>
              </w:pBdr>
              <w:spacing w:line="276" w:lineRule="auto"/>
              <w:rPr>
                <w:rFonts w:ascii="Arial" w:eastAsia="Arial" w:hAnsi="Arial" w:cs="Arial"/>
                <w:b/>
                <w:sz w:val="20"/>
                <w:szCs w:val="20"/>
              </w:rPr>
            </w:pPr>
          </w:p>
        </w:tc>
        <w:tc>
          <w:tcPr>
            <w:tcW w:w="2020" w:type="dxa"/>
            <w:vMerge/>
            <w:shd w:val="clear" w:color="auto" w:fill="CCCCCC"/>
            <w:tcMar>
              <w:top w:w="100" w:type="dxa"/>
              <w:left w:w="100" w:type="dxa"/>
              <w:bottom w:w="100" w:type="dxa"/>
              <w:right w:w="100" w:type="dxa"/>
            </w:tcMar>
          </w:tcPr>
          <w:p w:rsidR="007B7B30" w:rsidRDefault="007B7B30">
            <w:pPr>
              <w:widowControl w:val="0"/>
              <w:pBdr>
                <w:top w:val="nil"/>
                <w:left w:val="nil"/>
                <w:bottom w:val="nil"/>
                <w:right w:val="nil"/>
                <w:between w:val="nil"/>
              </w:pBdr>
              <w:spacing w:line="276" w:lineRule="auto"/>
              <w:rPr>
                <w:rFonts w:ascii="Arial" w:eastAsia="Arial" w:hAnsi="Arial" w:cs="Arial"/>
                <w:b/>
                <w:sz w:val="20"/>
                <w:szCs w:val="20"/>
              </w:rPr>
            </w:pPr>
          </w:p>
        </w:tc>
        <w:tc>
          <w:tcPr>
            <w:tcW w:w="3920" w:type="dxa"/>
            <w:vMerge/>
            <w:shd w:val="clear" w:color="auto" w:fill="CCCCCC"/>
            <w:tcMar>
              <w:top w:w="100" w:type="dxa"/>
              <w:left w:w="100" w:type="dxa"/>
              <w:bottom w:w="100" w:type="dxa"/>
              <w:right w:w="100" w:type="dxa"/>
            </w:tcMar>
          </w:tcPr>
          <w:p w:rsidR="007B7B30" w:rsidRDefault="007B7B30">
            <w:pPr>
              <w:widowControl w:val="0"/>
              <w:pBdr>
                <w:top w:val="nil"/>
                <w:left w:val="nil"/>
                <w:bottom w:val="nil"/>
                <w:right w:val="nil"/>
                <w:between w:val="nil"/>
              </w:pBdr>
              <w:spacing w:line="276" w:lineRule="auto"/>
              <w:rPr>
                <w:rFonts w:ascii="Arial" w:eastAsia="Arial" w:hAnsi="Arial" w:cs="Arial"/>
                <w:b/>
                <w:sz w:val="20"/>
                <w:szCs w:val="20"/>
              </w:rPr>
            </w:pPr>
          </w:p>
        </w:tc>
        <w:tc>
          <w:tcPr>
            <w:tcW w:w="1480" w:type="dxa"/>
            <w:shd w:val="clear" w:color="auto" w:fill="CCCCCC"/>
            <w:tcMar>
              <w:top w:w="100" w:type="dxa"/>
              <w:left w:w="100" w:type="dxa"/>
              <w:bottom w:w="100" w:type="dxa"/>
              <w:right w:w="100" w:type="dxa"/>
            </w:tcMar>
          </w:tcPr>
          <w:p w:rsidR="007B7B30" w:rsidRDefault="006561A8">
            <w:pPr>
              <w:widowControl w:val="0"/>
              <w:jc w:val="center"/>
              <w:rPr>
                <w:rFonts w:ascii="Arial" w:eastAsia="Arial" w:hAnsi="Arial" w:cs="Arial"/>
                <w:b/>
                <w:sz w:val="20"/>
                <w:szCs w:val="20"/>
              </w:rPr>
            </w:pPr>
            <w:r>
              <w:rPr>
                <w:rFonts w:ascii="Arial" w:eastAsia="Arial" w:hAnsi="Arial" w:cs="Arial"/>
                <w:b/>
                <w:sz w:val="20"/>
                <w:szCs w:val="20"/>
              </w:rPr>
              <w:t>Year 1</w:t>
            </w:r>
          </w:p>
        </w:tc>
        <w:tc>
          <w:tcPr>
            <w:tcW w:w="1520" w:type="dxa"/>
            <w:shd w:val="clear" w:color="auto" w:fill="CCCCCC"/>
            <w:tcMar>
              <w:top w:w="100" w:type="dxa"/>
              <w:left w:w="100" w:type="dxa"/>
              <w:bottom w:w="100" w:type="dxa"/>
              <w:right w:w="100" w:type="dxa"/>
            </w:tcMar>
          </w:tcPr>
          <w:p w:rsidR="007B7B30" w:rsidRDefault="006561A8">
            <w:pPr>
              <w:widowControl w:val="0"/>
              <w:jc w:val="center"/>
              <w:rPr>
                <w:rFonts w:ascii="Arial" w:eastAsia="Arial" w:hAnsi="Arial" w:cs="Arial"/>
                <w:b/>
                <w:sz w:val="20"/>
                <w:szCs w:val="20"/>
              </w:rPr>
            </w:pPr>
            <w:r>
              <w:rPr>
                <w:rFonts w:ascii="Arial" w:eastAsia="Arial" w:hAnsi="Arial" w:cs="Arial"/>
                <w:b/>
                <w:sz w:val="20"/>
                <w:szCs w:val="20"/>
              </w:rPr>
              <w:t>Year 2</w:t>
            </w:r>
          </w:p>
        </w:tc>
        <w:tc>
          <w:tcPr>
            <w:tcW w:w="1460" w:type="dxa"/>
            <w:shd w:val="clear" w:color="auto" w:fill="CCCCCC"/>
            <w:tcMar>
              <w:top w:w="100" w:type="dxa"/>
              <w:left w:w="100" w:type="dxa"/>
              <w:bottom w:w="100" w:type="dxa"/>
              <w:right w:w="100" w:type="dxa"/>
            </w:tcMar>
          </w:tcPr>
          <w:p w:rsidR="007B7B30" w:rsidRDefault="006561A8">
            <w:pPr>
              <w:widowControl w:val="0"/>
              <w:jc w:val="center"/>
              <w:rPr>
                <w:rFonts w:ascii="Arial" w:eastAsia="Arial" w:hAnsi="Arial" w:cs="Arial"/>
                <w:b/>
                <w:sz w:val="20"/>
                <w:szCs w:val="20"/>
              </w:rPr>
            </w:pPr>
            <w:r>
              <w:rPr>
                <w:rFonts w:ascii="Arial" w:eastAsia="Arial" w:hAnsi="Arial" w:cs="Arial"/>
                <w:b/>
                <w:sz w:val="20"/>
                <w:szCs w:val="20"/>
              </w:rPr>
              <w:t>Year 3</w:t>
            </w:r>
          </w:p>
        </w:tc>
        <w:tc>
          <w:tcPr>
            <w:tcW w:w="1580" w:type="dxa"/>
            <w:shd w:val="clear" w:color="auto" w:fill="CCCCCC"/>
            <w:tcMar>
              <w:top w:w="100" w:type="dxa"/>
              <w:left w:w="100" w:type="dxa"/>
              <w:bottom w:w="100" w:type="dxa"/>
              <w:right w:w="100" w:type="dxa"/>
            </w:tcMar>
          </w:tcPr>
          <w:p w:rsidR="007B7B30" w:rsidRDefault="006561A8">
            <w:pPr>
              <w:widowControl w:val="0"/>
              <w:jc w:val="center"/>
              <w:rPr>
                <w:rFonts w:ascii="Arial" w:eastAsia="Arial" w:hAnsi="Arial" w:cs="Arial"/>
                <w:b/>
                <w:sz w:val="20"/>
                <w:szCs w:val="20"/>
              </w:rPr>
            </w:pPr>
            <w:r>
              <w:rPr>
                <w:rFonts w:ascii="Arial" w:eastAsia="Arial" w:hAnsi="Arial" w:cs="Arial"/>
                <w:b/>
                <w:sz w:val="20"/>
                <w:szCs w:val="20"/>
              </w:rPr>
              <w:t>Year 4</w:t>
            </w:r>
          </w:p>
        </w:tc>
      </w:tr>
      <w:tr w:rsidR="007B7B30">
        <w:trPr>
          <w:trHeight w:val="4084"/>
        </w:trPr>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Volume Charge - datasets (per NFI cycle as applicable)</w:t>
            </w:r>
          </w:p>
          <w:p w:rsidR="007B7B30" w:rsidRDefault="007B7B30">
            <w:pPr>
              <w:widowControl w:val="0"/>
              <w:rPr>
                <w:rFonts w:ascii="Arial" w:eastAsia="Arial" w:hAnsi="Arial" w:cs="Arial"/>
                <w:sz w:val="20"/>
                <w:szCs w:val="20"/>
              </w:rPr>
            </w:pP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Charge per dataset</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 xml:space="preserve">Mandated dataset charges split equally 50% in year 1 across two payments and 50% year 2 across 2 payments, specifically </w:t>
            </w:r>
          </w:p>
          <w:p w:rsidR="007B7B30" w:rsidRDefault="006561A8">
            <w:pPr>
              <w:widowControl w:val="0"/>
              <w:numPr>
                <w:ilvl w:val="0"/>
                <w:numId w:val="2"/>
              </w:numPr>
              <w:ind w:left="425"/>
              <w:rPr>
                <w:rFonts w:ascii="Arial" w:eastAsia="Arial" w:hAnsi="Arial" w:cs="Arial"/>
                <w:sz w:val="20"/>
                <w:szCs w:val="20"/>
              </w:rPr>
            </w:pPr>
            <w:r>
              <w:rPr>
                <w:rFonts w:ascii="Arial" w:eastAsia="Arial" w:hAnsi="Arial" w:cs="Arial"/>
                <w:sz w:val="20"/>
                <w:szCs w:val="20"/>
              </w:rPr>
              <w:t>25% of ‘expected dataset charges’¹ upon commencement of data submissions for national exercise in 24/25 and 26/27</w:t>
            </w:r>
          </w:p>
          <w:p w:rsidR="007B7B30" w:rsidRDefault="006561A8">
            <w:pPr>
              <w:widowControl w:val="0"/>
              <w:numPr>
                <w:ilvl w:val="0"/>
                <w:numId w:val="2"/>
              </w:numPr>
              <w:ind w:left="425"/>
              <w:rPr>
                <w:rFonts w:ascii="Arial" w:eastAsia="Arial" w:hAnsi="Arial" w:cs="Arial"/>
                <w:sz w:val="20"/>
                <w:szCs w:val="20"/>
              </w:rPr>
            </w:pPr>
            <w:r>
              <w:rPr>
                <w:rFonts w:ascii="Arial" w:eastAsia="Arial" w:hAnsi="Arial" w:cs="Arial"/>
                <w:sz w:val="20"/>
                <w:szCs w:val="20"/>
              </w:rPr>
              <w:t xml:space="preserve">Remaining balance of </w:t>
            </w:r>
            <w:r>
              <w:rPr>
                <w:rFonts w:ascii="Arial" w:eastAsia="Arial" w:hAnsi="Arial" w:cs="Arial"/>
                <w:sz w:val="20"/>
                <w:szCs w:val="20"/>
              </w:rPr>
              <w:t xml:space="preserve">50% of ‘actual dataset charges’² </w:t>
            </w:r>
            <w:proofErr w:type="spellStart"/>
            <w:r>
              <w:rPr>
                <w:rFonts w:ascii="Arial" w:eastAsia="Arial" w:hAnsi="Arial" w:cs="Arial"/>
                <w:sz w:val="20"/>
                <w:szCs w:val="20"/>
              </w:rPr>
              <w:t>post match</w:t>
            </w:r>
            <w:proofErr w:type="spellEnd"/>
            <w:r>
              <w:rPr>
                <w:rFonts w:ascii="Arial" w:eastAsia="Arial" w:hAnsi="Arial" w:cs="Arial"/>
                <w:sz w:val="20"/>
                <w:szCs w:val="20"/>
              </w:rPr>
              <w:t xml:space="preserve"> release in 24/25 and 26/27 </w:t>
            </w:r>
          </w:p>
          <w:p w:rsidR="007B7B30" w:rsidRDefault="006561A8">
            <w:pPr>
              <w:widowControl w:val="0"/>
              <w:numPr>
                <w:ilvl w:val="0"/>
                <w:numId w:val="2"/>
              </w:numPr>
              <w:ind w:left="425"/>
              <w:rPr>
                <w:rFonts w:ascii="Arial" w:eastAsia="Arial" w:hAnsi="Arial" w:cs="Arial"/>
                <w:sz w:val="20"/>
                <w:szCs w:val="20"/>
              </w:rPr>
            </w:pPr>
            <w:r>
              <w:rPr>
                <w:rFonts w:ascii="Arial" w:eastAsia="Arial" w:hAnsi="Arial" w:cs="Arial"/>
                <w:sz w:val="20"/>
                <w:szCs w:val="20"/>
              </w:rPr>
              <w:t>25% of actual dataset charges upon commencement of data submissions for annual council tax Dec 2025 and Dec 2027</w:t>
            </w:r>
          </w:p>
          <w:p w:rsidR="007B7B30" w:rsidRDefault="006561A8">
            <w:pPr>
              <w:widowControl w:val="0"/>
              <w:numPr>
                <w:ilvl w:val="0"/>
                <w:numId w:val="2"/>
              </w:numPr>
              <w:ind w:left="425"/>
              <w:rPr>
                <w:rFonts w:ascii="Arial" w:eastAsia="Arial" w:hAnsi="Arial" w:cs="Arial"/>
                <w:sz w:val="20"/>
                <w:szCs w:val="20"/>
              </w:rPr>
            </w:pPr>
            <w:r>
              <w:rPr>
                <w:rFonts w:ascii="Arial" w:eastAsia="Arial" w:hAnsi="Arial" w:cs="Arial"/>
                <w:sz w:val="20"/>
                <w:szCs w:val="20"/>
              </w:rPr>
              <w:t>Remaining balance of actual dataset charges March 2026 and March 2028</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5</w:t>
            </w:r>
            <w:r>
              <w:rPr>
                <w:rFonts w:ascii="Arial" w:eastAsia="Arial" w:hAnsi="Arial" w:cs="Arial"/>
                <w:sz w:val="20"/>
                <w:szCs w:val="20"/>
              </w:rPr>
              <w:t xml:space="preserve">0% (two instalments in Oct and Jan) </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50% (two instalments in Dec and Mar)</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 xml:space="preserve">50% (two instalments in Oct and Jan) </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50% (two instalments in Dec and Mar</w:t>
            </w:r>
          </w:p>
        </w:tc>
      </w:tr>
      <w:tr w:rsidR="007B7B30">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proofErr w:type="spellStart"/>
            <w:r>
              <w:rPr>
                <w:rFonts w:ascii="Arial" w:eastAsia="Arial" w:hAnsi="Arial" w:cs="Arial"/>
                <w:sz w:val="20"/>
                <w:szCs w:val="20"/>
              </w:rPr>
              <w:lastRenderedPageBreak/>
              <w:t>AppCheck</w:t>
            </w:r>
            <w:proofErr w:type="spellEnd"/>
            <w:r>
              <w:rPr>
                <w:rFonts w:ascii="Arial" w:eastAsia="Arial" w:hAnsi="Arial" w:cs="Arial"/>
                <w:sz w:val="20"/>
                <w:szCs w:val="20"/>
              </w:rPr>
              <w:t xml:space="preserve"> Annual Membership (including DDRI)</w:t>
            </w: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Charge per participant or PAYG credits</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Upon take up, billed twice yearly Oct and Feb</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Oct and Feb</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Oct and Feb</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Oct and Feb</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Oct and Feb</w:t>
            </w:r>
          </w:p>
        </w:tc>
      </w:tr>
      <w:tr w:rsidR="007B7B30">
        <w:trPr>
          <w:trHeight w:val="889"/>
        </w:trPr>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proofErr w:type="spellStart"/>
            <w:r>
              <w:rPr>
                <w:rFonts w:ascii="Arial" w:eastAsia="Arial" w:hAnsi="Arial" w:cs="Arial"/>
                <w:sz w:val="20"/>
                <w:szCs w:val="20"/>
              </w:rPr>
              <w:t>FraudHub</w:t>
            </w:r>
            <w:proofErr w:type="spellEnd"/>
            <w:r>
              <w:rPr>
                <w:rFonts w:ascii="Arial" w:eastAsia="Arial" w:hAnsi="Arial" w:cs="Arial"/>
                <w:sz w:val="20"/>
                <w:szCs w:val="20"/>
              </w:rPr>
              <w:t xml:space="preserve"> Annual Membership (unlimited activity including DDRI) </w:t>
            </w: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Charge per participant</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Upon take up, billed twice yearly Oct and Feb</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Oct and Feb</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Oct and Feb</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Oct and Feb</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Oct and Feb</w:t>
            </w:r>
          </w:p>
        </w:tc>
      </w:tr>
      <w:tr w:rsidR="007B7B30">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Charge - delivery of the NFI service (excluding volume costs)</w:t>
            </w:r>
          </w:p>
          <w:p w:rsidR="007B7B30" w:rsidRDefault="007B7B30">
            <w:pPr>
              <w:widowControl w:val="0"/>
              <w:rPr>
                <w:rFonts w:ascii="Arial" w:eastAsia="Arial" w:hAnsi="Arial" w:cs="Arial"/>
                <w:sz w:val="20"/>
                <w:szCs w:val="20"/>
              </w:rPr>
            </w:pP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charge</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annual charge</w:t>
            </w:r>
          </w:p>
          <w:p w:rsidR="007B7B30" w:rsidRDefault="006561A8">
            <w:pPr>
              <w:widowControl w:val="0"/>
              <w:numPr>
                <w:ilvl w:val="0"/>
                <w:numId w:val="3"/>
              </w:numPr>
              <w:ind w:left="425"/>
              <w:rPr>
                <w:rFonts w:ascii="Arial" w:eastAsia="Arial" w:hAnsi="Arial" w:cs="Arial"/>
                <w:sz w:val="20"/>
                <w:szCs w:val="20"/>
              </w:rPr>
            </w:pPr>
            <w:r>
              <w:rPr>
                <w:rFonts w:ascii="Arial" w:eastAsia="Arial" w:hAnsi="Arial" w:cs="Arial"/>
                <w:sz w:val="20"/>
                <w:szCs w:val="20"/>
              </w:rPr>
              <w:t>50% in May</w:t>
            </w:r>
          </w:p>
          <w:p w:rsidR="007B7B30" w:rsidRDefault="006561A8">
            <w:pPr>
              <w:widowControl w:val="0"/>
              <w:numPr>
                <w:ilvl w:val="0"/>
                <w:numId w:val="3"/>
              </w:numPr>
              <w:ind w:left="425"/>
              <w:rPr>
                <w:rFonts w:ascii="Arial" w:eastAsia="Arial" w:hAnsi="Arial" w:cs="Arial"/>
                <w:sz w:val="20"/>
                <w:szCs w:val="20"/>
              </w:rPr>
            </w:pPr>
            <w:r>
              <w:rPr>
                <w:rFonts w:ascii="Arial" w:eastAsia="Arial" w:hAnsi="Arial" w:cs="Arial"/>
                <w:sz w:val="20"/>
                <w:szCs w:val="20"/>
              </w:rPr>
              <w:t>50% upon commencement of mandated data submissions (national and council tax)</w:t>
            </w:r>
          </w:p>
          <w:p w:rsidR="007B7B30" w:rsidRDefault="007B7B30">
            <w:pPr>
              <w:widowControl w:val="0"/>
              <w:ind w:left="720"/>
              <w:rPr>
                <w:rFonts w:ascii="Arial" w:eastAsia="Arial" w:hAnsi="Arial" w:cs="Arial"/>
                <w:sz w:val="20"/>
                <w:szCs w:val="20"/>
              </w:rPr>
            </w:pP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(two instalments in May and Dec)</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(two instalments in May and Dec)</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(two instalments in May and Dec)</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(two instalments in May and Dec)</w:t>
            </w:r>
          </w:p>
        </w:tc>
      </w:tr>
      <w:tr w:rsidR="007B7B30">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DWP RTI</w:t>
            </w: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charge</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annual charge</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r>
      <w:tr w:rsidR="007B7B30">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Home Office Banking Measures</w:t>
            </w:r>
          </w:p>
          <w:p w:rsidR="007B7B30" w:rsidRDefault="007B7B30">
            <w:pPr>
              <w:widowControl w:val="0"/>
              <w:rPr>
                <w:rFonts w:ascii="Arial" w:eastAsia="Arial" w:hAnsi="Arial" w:cs="Arial"/>
                <w:sz w:val="20"/>
                <w:szCs w:val="20"/>
              </w:rPr>
            </w:pP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charge</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annual charge</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r>
      <w:tr w:rsidR="007B7B30">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PSFA Internal Fraud Hub</w:t>
            </w:r>
          </w:p>
          <w:p w:rsidR="007B7B30" w:rsidRDefault="007B7B30">
            <w:pPr>
              <w:widowControl w:val="0"/>
              <w:rPr>
                <w:rFonts w:ascii="Arial" w:eastAsia="Arial" w:hAnsi="Arial" w:cs="Arial"/>
                <w:sz w:val="20"/>
                <w:szCs w:val="20"/>
              </w:rPr>
            </w:pP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charge</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 xml:space="preserve">Standard annual charge </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r>
      <w:tr w:rsidR="007B7B30">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Pension scheme mortality screening service (including DDRI)</w:t>
            </w: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charge</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annual charge</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r>
      <w:tr w:rsidR="007B7B30">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DDRI - Access to DDRI Data</w:t>
            </w:r>
          </w:p>
          <w:p w:rsidR="007B7B30" w:rsidRDefault="007B7B30">
            <w:pPr>
              <w:widowControl w:val="0"/>
              <w:rPr>
                <w:rFonts w:ascii="Arial" w:eastAsia="Arial" w:hAnsi="Arial" w:cs="Arial"/>
                <w:sz w:val="20"/>
                <w:szCs w:val="20"/>
              </w:rPr>
            </w:pP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charge</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 xml:space="preserve">Standard annual charge </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May</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May</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May</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May</w:t>
            </w:r>
          </w:p>
        </w:tc>
      </w:tr>
      <w:tr w:rsidR="007B7B30">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 xml:space="preserve">Credit Reference Agency - </w:t>
            </w:r>
            <w:r>
              <w:rPr>
                <w:rFonts w:ascii="Arial" w:eastAsia="Arial" w:hAnsi="Arial" w:cs="Arial"/>
                <w:sz w:val="20"/>
                <w:szCs w:val="20"/>
              </w:rPr>
              <w:lastRenderedPageBreak/>
              <w:t>Access to CRA data</w:t>
            </w: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lastRenderedPageBreak/>
              <w:t xml:space="preserve">Standard charge </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 xml:space="preserve">Standard annual charge </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w:t>
            </w:r>
          </w:p>
        </w:tc>
      </w:tr>
      <w:tr w:rsidR="007B7B30">
        <w:trPr>
          <w:trHeight w:val="435"/>
        </w:trPr>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Implementation costs</w:t>
            </w: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Standard charge</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Spread equally across life of the contract</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25% Oct</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25% Oct</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25% Oct</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25% Oct</w:t>
            </w:r>
          </w:p>
        </w:tc>
      </w:tr>
      <w:tr w:rsidR="007B7B30">
        <w:tc>
          <w:tcPr>
            <w:tcW w:w="29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NFI Product Gainshare (Income to PSFA)</w:t>
            </w:r>
          </w:p>
          <w:p w:rsidR="007B7B30" w:rsidRDefault="007B7B30">
            <w:pPr>
              <w:widowControl w:val="0"/>
              <w:rPr>
                <w:rFonts w:ascii="Arial" w:eastAsia="Arial" w:hAnsi="Arial" w:cs="Arial"/>
                <w:sz w:val="20"/>
                <w:szCs w:val="20"/>
              </w:rPr>
            </w:pPr>
          </w:p>
        </w:tc>
        <w:tc>
          <w:tcPr>
            <w:tcW w:w="20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Percentage of income</w:t>
            </w:r>
          </w:p>
        </w:tc>
        <w:tc>
          <w:tcPr>
            <w:tcW w:w="39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 xml:space="preserve">Invoice to supplier twice yearly </w:t>
            </w:r>
          </w:p>
        </w:tc>
        <w:tc>
          <w:tcPr>
            <w:tcW w:w="14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 and Feb</w:t>
            </w:r>
          </w:p>
        </w:tc>
        <w:tc>
          <w:tcPr>
            <w:tcW w:w="152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 and Feb</w:t>
            </w:r>
          </w:p>
        </w:tc>
        <w:tc>
          <w:tcPr>
            <w:tcW w:w="146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 and Feb</w:t>
            </w:r>
          </w:p>
        </w:tc>
        <w:tc>
          <w:tcPr>
            <w:tcW w:w="1580" w:type="dxa"/>
            <w:shd w:val="clear" w:color="auto" w:fill="auto"/>
            <w:tcMar>
              <w:top w:w="100" w:type="dxa"/>
              <w:left w:w="100" w:type="dxa"/>
              <w:bottom w:w="100" w:type="dxa"/>
              <w:right w:w="100" w:type="dxa"/>
            </w:tcMar>
          </w:tcPr>
          <w:p w:rsidR="007B7B30" w:rsidRDefault="006561A8">
            <w:pPr>
              <w:widowControl w:val="0"/>
              <w:rPr>
                <w:rFonts w:ascii="Arial" w:eastAsia="Arial" w:hAnsi="Arial" w:cs="Arial"/>
                <w:sz w:val="20"/>
                <w:szCs w:val="20"/>
              </w:rPr>
            </w:pPr>
            <w:r>
              <w:rPr>
                <w:rFonts w:ascii="Arial" w:eastAsia="Arial" w:hAnsi="Arial" w:cs="Arial"/>
                <w:sz w:val="20"/>
                <w:szCs w:val="20"/>
              </w:rPr>
              <w:t>100% Oct and Feb</w:t>
            </w:r>
          </w:p>
        </w:tc>
      </w:tr>
    </w:tbl>
    <w:p w:rsidR="007B7B30" w:rsidRDefault="007B7B30">
      <w:pPr>
        <w:spacing w:after="0"/>
        <w:rPr>
          <w:rFonts w:ascii="Arial" w:eastAsia="Arial" w:hAnsi="Arial" w:cs="Arial"/>
          <w:sz w:val="20"/>
          <w:szCs w:val="20"/>
        </w:rPr>
      </w:pPr>
    </w:p>
    <w:p w:rsidR="007B7B30" w:rsidRDefault="006561A8">
      <w:pPr>
        <w:spacing w:after="0"/>
        <w:rPr>
          <w:rFonts w:ascii="Arial" w:eastAsia="Arial" w:hAnsi="Arial" w:cs="Arial"/>
          <w:sz w:val="20"/>
          <w:szCs w:val="20"/>
        </w:rPr>
      </w:pPr>
      <w:r>
        <w:rPr>
          <w:rFonts w:ascii="Arial" w:eastAsia="Arial" w:hAnsi="Arial" w:cs="Arial"/>
          <w:sz w:val="20"/>
          <w:szCs w:val="20"/>
        </w:rPr>
        <w:t xml:space="preserve">¹ Expected dataset charges to be based on the number datasets expected to be received for national exercise and annual council tax SPD across each </w:t>
      </w:r>
      <w:proofErr w:type="gramStart"/>
      <w:r>
        <w:rPr>
          <w:rFonts w:ascii="Arial" w:eastAsia="Arial" w:hAnsi="Arial" w:cs="Arial"/>
          <w:sz w:val="20"/>
          <w:szCs w:val="20"/>
        </w:rPr>
        <w:t>two year</w:t>
      </w:r>
      <w:proofErr w:type="gramEnd"/>
      <w:r>
        <w:rPr>
          <w:rFonts w:ascii="Arial" w:eastAsia="Arial" w:hAnsi="Arial" w:cs="Arial"/>
          <w:sz w:val="20"/>
          <w:szCs w:val="20"/>
        </w:rPr>
        <w:t xml:space="preserve"> cycle. The number of expected datasets is circa 6,760.</w:t>
      </w:r>
    </w:p>
    <w:p w:rsidR="007B7B30" w:rsidRDefault="006561A8">
      <w:pPr>
        <w:spacing w:after="0"/>
        <w:rPr>
          <w:rFonts w:ascii="Arial" w:eastAsia="Arial" w:hAnsi="Arial" w:cs="Arial"/>
          <w:sz w:val="20"/>
          <w:szCs w:val="20"/>
        </w:rPr>
      </w:pPr>
      <w:r>
        <w:rPr>
          <w:rFonts w:ascii="Arial" w:eastAsia="Arial" w:hAnsi="Arial" w:cs="Arial"/>
          <w:sz w:val="20"/>
          <w:szCs w:val="20"/>
        </w:rPr>
        <w:t>² Actual dataset charges to be based on the a</w:t>
      </w:r>
      <w:r>
        <w:rPr>
          <w:rFonts w:ascii="Arial" w:eastAsia="Arial" w:hAnsi="Arial" w:cs="Arial"/>
          <w:sz w:val="20"/>
          <w:szCs w:val="20"/>
        </w:rPr>
        <w:t>ctual number of datasets received, this may be less than or more than the number of expected datasets and can change over time.</w:t>
      </w:r>
    </w:p>
    <w:p w:rsidR="007B7B30" w:rsidRDefault="007B7B30">
      <w:pPr>
        <w:rPr>
          <w:rFonts w:ascii="Arial" w:eastAsia="Arial" w:hAnsi="Arial" w:cs="Arial"/>
          <w:b/>
          <w:sz w:val="36"/>
          <w:szCs w:val="36"/>
        </w:rPr>
      </w:pPr>
    </w:p>
    <w:sectPr w:rsidR="007B7B30">
      <w:footerReference w:type="default" r:id="rId14"/>
      <w:pgSz w:w="16838" w:h="11906" w:orient="landscape"/>
      <w:pgMar w:top="1440" w:right="1888" w:bottom="1440" w:left="1440" w:header="709" w:footer="709"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1A8" w:rsidRDefault="006561A8">
      <w:pPr>
        <w:spacing w:after="0" w:line="240" w:lineRule="auto"/>
      </w:pPr>
      <w:r>
        <w:separator/>
      </w:r>
    </w:p>
  </w:endnote>
  <w:endnote w:type="continuationSeparator" w:id="0">
    <w:p w:rsidR="006561A8" w:rsidRDefault="00656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B30" w:rsidRDefault="007B7B3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B30" w:rsidRDefault="007B7B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7B7B30" w:rsidRDefault="006561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v.1.2</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331B8">
      <w:rPr>
        <w:rFonts w:ascii="Arial" w:eastAsia="Arial" w:hAnsi="Arial" w:cs="Arial"/>
        <w:color w:val="000000"/>
        <w:sz w:val="20"/>
        <w:szCs w:val="20"/>
      </w:rPr>
      <w:fldChar w:fldCharType="separate"/>
    </w:r>
    <w:r w:rsidR="003331B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B7B30" w:rsidRDefault="007B7B3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B30" w:rsidRDefault="006561A8">
    <w:pPr>
      <w:tabs>
        <w:tab w:val="center" w:pos="4513"/>
        <w:tab w:val="right" w:pos="9026"/>
      </w:tabs>
      <w:spacing w:after="0"/>
    </w:pPr>
    <w:r>
      <w:t>Framework Ref: RM</w:t>
    </w:r>
    <w:r>
      <w:tab/>
      <w:t xml:space="preserve">                                           </w:t>
    </w:r>
  </w:p>
  <w:p w:rsidR="007B7B30" w:rsidRDefault="006561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7B7B30" w:rsidRDefault="006561A8">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B30" w:rsidRDefault="006561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v.1.2</w:t>
    </w:r>
  </w:p>
  <w:p w:rsidR="007B7B30" w:rsidRDefault="006561A8">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1A8" w:rsidRDefault="006561A8">
      <w:pPr>
        <w:spacing w:after="0" w:line="240" w:lineRule="auto"/>
      </w:pPr>
      <w:r>
        <w:separator/>
      </w:r>
    </w:p>
  </w:footnote>
  <w:footnote w:type="continuationSeparator" w:id="0">
    <w:p w:rsidR="006561A8" w:rsidRDefault="006561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B30" w:rsidRDefault="007B7B3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B30" w:rsidRDefault="006561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Schedule 3 (Charges), Crown Copyright 2023,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B30" w:rsidRDefault="006561A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rsidR="007B7B30" w:rsidRDefault="006561A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B2B20"/>
    <w:multiLevelType w:val="multilevel"/>
    <w:tmpl w:val="6F8CC75A"/>
    <w:lvl w:ilvl="0">
      <w:start w:val="1"/>
      <w:numFmt w:val="bullet"/>
      <w:pStyle w:val="GPsDefinition"/>
      <w:lvlText w:val="-"/>
      <w:lvlJc w:val="left"/>
      <w:pPr>
        <w:ind w:left="720" w:hanging="360"/>
      </w:pPr>
      <w:rPr>
        <w:u w:val="none"/>
      </w:rPr>
    </w:lvl>
    <w:lvl w:ilvl="1">
      <w:start w:val="1"/>
      <w:numFmt w:val="bullet"/>
      <w:pStyle w:val="GPSDefinitionL2"/>
      <w:lvlText w:val="-"/>
      <w:lvlJc w:val="left"/>
      <w:pPr>
        <w:ind w:left="1440" w:hanging="360"/>
      </w:pPr>
      <w:rPr>
        <w:u w:val="none"/>
      </w:rPr>
    </w:lvl>
    <w:lvl w:ilvl="2">
      <w:start w:val="1"/>
      <w:numFmt w:val="bullet"/>
      <w:pStyle w:val="GPSDefinitionL3"/>
      <w:lvlText w:val="-"/>
      <w:lvlJc w:val="left"/>
      <w:pPr>
        <w:ind w:left="2160" w:hanging="360"/>
      </w:pPr>
      <w:rPr>
        <w:u w:val="none"/>
      </w:rPr>
    </w:lvl>
    <w:lvl w:ilvl="3">
      <w:start w:val="1"/>
      <w:numFmt w:val="bullet"/>
      <w:pStyle w:val="GPSDefinitionL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39A088E"/>
    <w:multiLevelType w:val="multilevel"/>
    <w:tmpl w:val="9D680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7C682E"/>
    <w:multiLevelType w:val="multilevel"/>
    <w:tmpl w:val="F404C6AA"/>
    <w:lvl w:ilvl="0">
      <w:start w:val="1"/>
      <w:numFmt w:val="decimal"/>
      <w:pStyle w:val="GPSL1CLAUSEHEADING"/>
      <w:lvlText w:val="%1."/>
      <w:lvlJc w:val="left"/>
      <w:pPr>
        <w:ind w:left="360" w:hanging="360"/>
      </w:pPr>
      <w:rPr>
        <w:rFonts w:ascii="Arial" w:eastAsia="Arial" w:hAnsi="Arial" w:cs="Arial"/>
        <w:b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b w:val="0"/>
        <w:i w:val="0"/>
        <w:smallCaps w:val="0"/>
        <w:strike w:val="0"/>
        <w:color w:val="000000"/>
        <w:sz w:val="24"/>
        <w:szCs w:val="24"/>
        <w:u w:val="none"/>
        <w:vertAlign w:val="baseline"/>
      </w:rPr>
    </w:lvl>
    <w:lvl w:ilvl="3">
      <w:start w:val="1"/>
      <w:numFmt w:val="lowerLetter"/>
      <w:pStyle w:val="GPSL4numberedclause"/>
      <w:lvlText w:val="(%4)"/>
      <w:lvlJc w:val="left"/>
      <w:pPr>
        <w:ind w:left="2592" w:hanging="864"/>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35E50A1"/>
    <w:multiLevelType w:val="multilevel"/>
    <w:tmpl w:val="C904261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B30"/>
    <w:rsid w:val="003331B8"/>
    <w:rsid w:val="006561A8"/>
    <w:rsid w:val="007B7B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3EAC51-FCD2-4000-8167-31ADB951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link w:val="Heading7Char"/>
    <w:qFormat/>
    <w:pPr>
      <w:tabs>
        <w:tab w:val="num" w:pos="4320"/>
      </w:tabs>
      <w:adjustRightInd w:val="0"/>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tabs>
        <w:tab w:val="num" w:pos="4320"/>
      </w:tabs>
      <w:adjustRightInd w:val="0"/>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tabs>
        <w:tab w:val="num" w:pos="4320"/>
      </w:tabs>
      <w:adjustRightInd w:val="0"/>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keepNext/>
      <w:numPr>
        <w:numId w:val="1"/>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607" w:hanging="850"/>
    </w:pPr>
    <w:rPr>
      <w:szCs w:val="20"/>
    </w:rPr>
  </w:style>
  <w:style w:type="character" w:customStyle="1" w:styleId="GPSL2numberedclauseChar1">
    <w:name w:val="GPS L2 numbered clause Char1"/>
    <w:link w:val="GPSL2numberedclause"/>
    <w:rPr>
      <w:rFonts w:ascii="Arial" w:eastAsia="Times New Roman" w:hAnsi="Arial" w:cs="Arial"/>
      <w:sz w:val="24"/>
      <w:lang w:eastAsia="zh-CN"/>
    </w:rPr>
  </w:style>
  <w:style w:type="character" w:customStyle="1" w:styleId="GPSL3numberedclauseChar">
    <w:name w:val="GPS L3 numbered clause Char"/>
    <w:link w:val="GPSL3numberedclause"/>
    <w:rPr>
      <w:rFonts w:ascii="Arial" w:eastAsia="Times New Roman" w:hAnsi="Arial" w:cs="Arial"/>
      <w:sz w:val="24"/>
      <w:lang w:eastAsia="zh-CN"/>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uiPriority w:val="99"/>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pPr>
    <w:rPr>
      <w:sz w:val="24"/>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pPr>
      <w:tabs>
        <w:tab w:val="clear" w:pos="0"/>
        <w:tab w:val="left" w:pos="142"/>
      </w:tabs>
      <w:outlineLvl w:val="9"/>
    </w:pPr>
    <w:rPr>
      <w:rFonts w:ascii="Arial" w:hAnsi="Arial"/>
      <w:caps/>
    </w:rPr>
  </w:style>
  <w:style w:type="character" w:customStyle="1" w:styleId="GPSL1SCHEDULEHeadingChar">
    <w:name w:val="GPS L1 SCHEDULE Heading Char"/>
    <w:link w:val="GPSL1SCHEDULEHeading"/>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qFormat/>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Table-Text">
    <w:name w:val="Table - Text"/>
    <w:basedOn w:val="Normal"/>
    <w:qFormat/>
    <w:pPr>
      <w:adjustRightInd w:val="0"/>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pPr>
      <w:keepNext/>
      <w:overflowPunct w:val="0"/>
      <w:autoSpaceDE w:val="0"/>
      <w:autoSpaceDN w:val="0"/>
      <w:adjustRightInd w:val="0"/>
      <w:spacing w:before="120" w:after="240" w:line="240" w:lineRule="auto"/>
      <w:ind w:left="360" w:hanging="360"/>
      <w:textAlignment w:val="baseline"/>
    </w:pPr>
    <w:rPr>
      <w:rFonts w:asciiTheme="minorBidi" w:eastAsia="Times New Roman" w:hAnsiTheme="minorBidi" w:cs="Arial"/>
      <w:sz w:val="24"/>
      <w:lang w:eastAsia="en-US"/>
    </w:rPr>
  </w:style>
  <w:style w:type="paragraph" w:customStyle="1" w:styleId="GPSL3NUMBERED">
    <w:name w:val="GPS L3 NUMBERED"/>
    <w:basedOn w:val="Normal"/>
    <w:pPr>
      <w:tabs>
        <w:tab w:val="num" w:pos="1757"/>
      </w:tabs>
      <w:overflowPunct w:val="0"/>
      <w:autoSpaceDE w:val="0"/>
      <w:autoSpaceDN w:val="0"/>
      <w:adjustRightInd w:val="0"/>
      <w:spacing w:after="240" w:line="240" w:lineRule="auto"/>
      <w:ind w:left="1757" w:hanging="850"/>
      <w:textAlignment w:val="baseline"/>
    </w:pPr>
    <w:rPr>
      <w:rFonts w:asciiTheme="minorBidi" w:eastAsia="Times New Roman" w:hAnsiTheme="minorBidi" w:cs="Arial"/>
      <w:sz w:val="24"/>
      <w:lang w:eastAsia="en-US"/>
    </w:rPr>
  </w:style>
  <w:style w:type="paragraph" w:customStyle="1" w:styleId="GPSL4numbered">
    <w:name w:val="GPS L4 numbered"/>
    <w:basedOn w:val="Normal"/>
    <w:pPr>
      <w:tabs>
        <w:tab w:val="num" w:pos="2606"/>
      </w:tabs>
      <w:overflowPunct w:val="0"/>
      <w:autoSpaceDE w:val="0"/>
      <w:autoSpaceDN w:val="0"/>
      <w:adjustRightInd w:val="0"/>
      <w:spacing w:after="240" w:line="240" w:lineRule="auto"/>
      <w:ind w:left="2606" w:hanging="849"/>
      <w:textAlignment w:val="baseline"/>
    </w:pPr>
    <w:rPr>
      <w:rFonts w:asciiTheme="minorBidi" w:eastAsia="Times New Roman" w:hAnsiTheme="minorBidi" w:cs="Arial"/>
      <w:sz w:val="24"/>
      <w:lang w:eastAsia="en-US"/>
    </w:rPr>
  </w:style>
  <w:style w:type="paragraph" w:customStyle="1" w:styleId="GPSL5NUMBERED">
    <w:name w:val="GPS L5 NUMBERED"/>
    <w:basedOn w:val="Normal"/>
    <w:pPr>
      <w:overflowPunct w:val="0"/>
      <w:autoSpaceDE w:val="0"/>
      <w:autoSpaceDN w:val="0"/>
      <w:adjustRightInd w:val="0"/>
      <w:spacing w:after="240" w:line="240" w:lineRule="auto"/>
      <w:ind w:left="2995" w:hanging="720"/>
      <w:jc w:val="both"/>
      <w:textAlignment w:val="baseline"/>
    </w:pPr>
    <w:rPr>
      <w:rFonts w:eastAsia="Times New Roman" w:cs="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numbering" w:customStyle="1" w:styleId="CurrentList1">
    <w:name w:val="Current List1"/>
    <w:uiPriority w:val="99"/>
  </w:style>
  <w:style w:type="numbering" w:customStyle="1" w:styleId="CurrentList2">
    <w:name w:val="Current List2"/>
    <w:uiPriority w:val="99"/>
  </w:style>
  <w:style w:type="numbering" w:customStyle="1" w:styleId="CurrentList3">
    <w:name w:val="Current List3"/>
    <w:uiPriority w:val="99"/>
  </w:style>
  <w:style w:type="numbering" w:customStyle="1" w:styleId="CurrentList4">
    <w:name w:val="Current List4"/>
    <w:uiPriority w:val="99"/>
  </w:style>
  <w:style w:type="numbering" w:customStyle="1" w:styleId="CurrentList5">
    <w:name w:val="Current List5"/>
    <w:uiPriority w:val="99"/>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CellMar>
        <w:left w:w="115" w:type="dxa"/>
        <w:right w:w="115" w:type="dxa"/>
      </w:tblCellMar>
    </w:tblPr>
  </w:style>
  <w:style w:type="table" w:customStyle="1" w:styleId="ab">
    <w:basedOn w:val="TableNormal"/>
    <w:pPr>
      <w:spacing w:after="0" w:line="240" w:lineRule="auto"/>
    </w:pPr>
    <w:tblPr>
      <w:tblStyleRowBandSize w:val="1"/>
      <w:tblStyleColBandSize w:val="1"/>
      <w:tblCellMar>
        <w:left w:w="115" w:type="dxa"/>
        <w:right w:w="115" w:type="dxa"/>
      </w:tblCellMar>
    </w:tblPr>
  </w:style>
  <w:style w:type="table" w:customStyle="1" w:styleId="ac">
    <w:basedOn w:val="TableNormal"/>
    <w:pPr>
      <w:spacing w:after="0" w:line="240" w:lineRule="auto"/>
    </w:pPr>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158DHiETWm+2sBAatWg6w9XaQ==">CgMxLjAyCmlkLjJqeHN4cWgyCWlkLnozMzd5YTIJaC40NHNpbmlvMgloLjMwajB6bGwyCWguMWZvYjl0ZTIJaC4zem55c2g3MgloLjNyZGNyam4yDmguamZjNHRrZTM5bzl1MgloLjI2aW4xcmcyCGgubG54Yno5MgloLjF5ODEwdHcyDWguZnF1a2dpdGc3c3YyDmgucDM2ZzFhNnp5eTNuMgloLjM1bmt1bjIyCWguM2R5NnZrbTIOaC5ja3dpZDM1aXMzMGgyDmgubzJudzdwbTFvOGJiMgppZC40aTdvamhwMgloLjF0M2g1c2YyCmlkLjJ4Y3l0cGkyEGtpeC5pbDVvYWhpdXg3dWU4AGpACjVzdWdnZXN0SWRJbXBvcnRlYmY2MzAxMy1hYjFlLTQ1ZjQtYTk0NS0zNzYzMjIzNGRjOGZfMRIHUGhpbGxpcHIhMUNfd184UHBxVlAwY2lwR3hSQkwzQkJ3S1o1M2ZQMTk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1284</Words>
  <Characters>7324</Characters>
  <Application>Microsoft Office Word</Application>
  <DocSecurity>0</DocSecurity>
  <Lines>61</Lines>
  <Paragraphs>17</Paragraphs>
  <ScaleCrop>false</ScaleCrop>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Jackson</dc:creator>
  <cp:lastModifiedBy>Adam Cureton</cp:lastModifiedBy>
  <cp:revision>2</cp:revision>
  <dcterms:created xsi:type="dcterms:W3CDTF">2023-11-24T11:26:00Z</dcterms:created>
  <dcterms:modified xsi:type="dcterms:W3CDTF">2024-10-04T08:25:00Z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29b1c62f-229a-4e68-84e2-f927fd903b83</vt:lpwstr>
  </property>
</Properties>
</file>